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43" w:rsidRPr="00F77B43" w:rsidRDefault="00F77B43" w:rsidP="00F77B43">
      <w:pPr>
        <w:shd w:val="clear" w:color="auto" w:fill="FFFFFF"/>
        <w:spacing w:line="252" w:lineRule="atLeast"/>
        <w:jc w:val="center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F77B43">
        <w:rPr>
          <w:rFonts w:ascii="Arial" w:eastAsia="Times New Roman" w:hAnsi="Arial" w:cs="Arial"/>
          <w:noProof/>
          <w:color w:val="383C45"/>
          <w:sz w:val="18"/>
          <w:szCs w:val="18"/>
          <w:lang w:eastAsia="ru-RU"/>
        </w:rPr>
        <w:drawing>
          <wp:inline distT="0" distB="0" distL="0" distR="0" wp14:anchorId="79F9A61D" wp14:editId="7966A589">
            <wp:extent cx="690880" cy="701040"/>
            <wp:effectExtent l="0" t="0" r="0" b="3810"/>
            <wp:docPr id="1" name="Рисунок 1" descr="http://ras.arbitr.ru/Content/Static/img/t/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s.arbitr.ru/Content/Static/img/t/v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B43" w:rsidRPr="00F77B43" w:rsidRDefault="00F77B43" w:rsidP="00F77B43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F77B43">
        <w:rPr>
          <w:rFonts w:ascii="Arial" w:eastAsia="Times New Roman" w:hAnsi="Arial" w:cs="Arial"/>
          <w:b/>
          <w:bCs/>
          <w:color w:val="383C45"/>
          <w:sz w:val="18"/>
          <w:szCs w:val="18"/>
          <w:bdr w:val="none" w:sz="0" w:space="0" w:color="auto" w:frame="1"/>
          <w:lang w:eastAsia="ru-RU"/>
        </w:rPr>
        <w:t> </w:t>
      </w:r>
    </w:p>
    <w:p w:rsidR="00F77B43" w:rsidRPr="00F77B43" w:rsidRDefault="00F77B43" w:rsidP="00F77B43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F77B43">
        <w:rPr>
          <w:rFonts w:ascii="Arial" w:eastAsia="Times New Roman" w:hAnsi="Arial" w:cs="Arial"/>
          <w:b/>
          <w:bCs/>
          <w:color w:val="383C45"/>
          <w:sz w:val="18"/>
          <w:szCs w:val="18"/>
          <w:bdr w:val="none" w:sz="0" w:space="0" w:color="auto" w:frame="1"/>
          <w:lang w:eastAsia="ru-RU"/>
        </w:rPr>
        <w:t>ФЕДЕРАЛЬНЫЙ  АРБИТРАЖНЫЙ  СУД  </w:t>
      </w:r>
      <w:proofErr w:type="gramStart"/>
      <w:r w:rsidRPr="00F77B43">
        <w:rPr>
          <w:rFonts w:ascii="Arial" w:eastAsia="Times New Roman" w:hAnsi="Arial" w:cs="Arial"/>
          <w:b/>
          <w:bCs/>
          <w:color w:val="383C45"/>
          <w:sz w:val="18"/>
          <w:szCs w:val="18"/>
          <w:bdr w:val="none" w:sz="0" w:space="0" w:color="auto" w:frame="1"/>
          <w:lang w:eastAsia="ru-RU"/>
        </w:rPr>
        <w:t>СЕВЕРО-КАВКАЗСКОГО</w:t>
      </w:r>
      <w:proofErr w:type="gramEnd"/>
      <w:r w:rsidRPr="00F77B43">
        <w:rPr>
          <w:rFonts w:ascii="Arial" w:eastAsia="Times New Roman" w:hAnsi="Arial" w:cs="Arial"/>
          <w:b/>
          <w:bCs/>
          <w:color w:val="383C45"/>
          <w:sz w:val="18"/>
          <w:szCs w:val="18"/>
          <w:bdr w:val="none" w:sz="0" w:space="0" w:color="auto" w:frame="1"/>
          <w:lang w:eastAsia="ru-RU"/>
        </w:rPr>
        <w:t xml:space="preserve">  ОКРУГА</w:t>
      </w: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br/>
      </w: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br/>
      </w:r>
    </w:p>
    <w:p w:rsidR="00F77B43" w:rsidRPr="00F77B43" w:rsidRDefault="00F77B43" w:rsidP="00F77B43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F77B43">
        <w:rPr>
          <w:rFonts w:ascii="Arial" w:eastAsia="Times New Roman" w:hAnsi="Arial" w:cs="Arial"/>
          <w:b/>
          <w:bCs/>
          <w:color w:val="383C45"/>
          <w:sz w:val="18"/>
          <w:szCs w:val="18"/>
          <w:bdr w:val="none" w:sz="0" w:space="0" w:color="auto" w:frame="1"/>
          <w:lang w:eastAsia="ru-RU"/>
        </w:rPr>
        <w:t>Именем Российской Федерации</w:t>
      </w: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br/>
      </w: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br/>
      </w:r>
    </w:p>
    <w:p w:rsidR="00F77B43" w:rsidRPr="00F77B43" w:rsidRDefault="00F77B43" w:rsidP="00F77B43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F77B43">
        <w:rPr>
          <w:rFonts w:ascii="Arial" w:eastAsia="Times New Roman" w:hAnsi="Arial" w:cs="Arial"/>
          <w:b/>
          <w:bCs/>
          <w:color w:val="383C45"/>
          <w:sz w:val="18"/>
          <w:szCs w:val="18"/>
          <w:bdr w:val="none" w:sz="0" w:space="0" w:color="auto" w:frame="1"/>
          <w:lang w:eastAsia="ru-RU"/>
        </w:rPr>
        <w:t>ПОСТАНОВЛЕНИЕ </w:t>
      </w:r>
      <w:r w:rsidRPr="00F77B43">
        <w:rPr>
          <w:rFonts w:ascii="Arial" w:eastAsia="Times New Roman" w:hAnsi="Arial" w:cs="Arial"/>
          <w:b/>
          <w:bCs/>
          <w:color w:val="383C45"/>
          <w:sz w:val="18"/>
          <w:szCs w:val="18"/>
          <w:u w:val="single"/>
          <w:bdr w:val="none" w:sz="0" w:space="0" w:color="auto" w:frame="1"/>
          <w:lang w:eastAsia="ru-RU"/>
        </w:rPr>
        <w:t> </w:t>
      </w:r>
    </w:p>
    <w:p w:rsidR="00F77B43" w:rsidRPr="00F77B43" w:rsidRDefault="00F77B43" w:rsidP="00F77B43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арбитражного суда кассационной инстанции</w:t>
      </w:r>
    </w:p>
    <w:p w:rsidR="00F77B43" w:rsidRPr="00F77B43" w:rsidRDefault="00F77B43" w:rsidP="00F77B43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 </w:t>
      </w:r>
    </w:p>
    <w:p w:rsidR="00F77B43" w:rsidRPr="00F77B43" w:rsidRDefault="00F77B43" w:rsidP="00F77B4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г. Краснодар</w:t>
      </w:r>
    </w:p>
    <w:p w:rsidR="00F77B43" w:rsidRPr="00F77B43" w:rsidRDefault="00F77B43" w:rsidP="00F77B43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Дело № А01-1786/2013</w:t>
      </w:r>
    </w:p>
    <w:p w:rsidR="00F77B43" w:rsidRPr="00F77B43" w:rsidRDefault="00F77B43" w:rsidP="00F77B43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23 апреля 2014 года</w:t>
      </w:r>
    </w:p>
    <w:p w:rsidR="00F77B43" w:rsidRPr="00F77B43" w:rsidRDefault="00F77B43" w:rsidP="00F77B4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 </w:t>
      </w:r>
    </w:p>
    <w:p w:rsidR="00F77B43" w:rsidRPr="00F77B43" w:rsidRDefault="00F77B43" w:rsidP="00F77B43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 </w:t>
      </w:r>
    </w:p>
    <w:p w:rsidR="00F77B43" w:rsidRPr="00F77B43" w:rsidRDefault="00F77B43" w:rsidP="00F77B43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 </w:t>
      </w:r>
    </w:p>
    <w:p w:rsidR="00F77B43" w:rsidRPr="00F77B43" w:rsidRDefault="00F77B43" w:rsidP="00F77B4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Резолютивная часть постановления объявлена 22 апреля 2014 года.</w:t>
      </w:r>
    </w:p>
    <w:p w:rsidR="00F77B43" w:rsidRPr="00F77B43" w:rsidRDefault="00F77B43" w:rsidP="00F77B4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Постановление изготовлено в полном объеме  23 апреля 2014 года.</w:t>
      </w:r>
    </w:p>
    <w:p w:rsidR="00F77B43" w:rsidRPr="00F77B43" w:rsidRDefault="00F77B43" w:rsidP="00F77B43">
      <w:pPr>
        <w:shd w:val="clear" w:color="auto" w:fill="FFFFFF"/>
        <w:spacing w:before="150" w:after="150" w:line="252" w:lineRule="atLeast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F77B43">
        <w:rPr>
          <w:rFonts w:ascii="Arial" w:eastAsia="Times New Roman" w:hAnsi="Arial" w:cs="Arial"/>
          <w:color w:val="383C45"/>
          <w:sz w:val="18"/>
          <w:szCs w:val="18"/>
          <w:lang w:eastAsia="ru-RU"/>
        </w:rPr>
        <w:t> </w:t>
      </w:r>
    </w:p>
    <w:p w:rsidR="00F77B43" w:rsidRPr="00F77B43" w:rsidRDefault="00F77B43" w:rsidP="00F77B4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proofErr w:type="gram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Федеральный арбитражный суд Северо-Кавказского округа в составе председательствующего Андреевой Е.В., судей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Денека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 И.М. и Калашниковой М.Г., </w:t>
      </w: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br/>
        <w:t>при участии в судебном заседании от заявителя – открытого акционерного общества «Кубаньэнерго» (ИНН 2309001660, ОГРН 1022301427268) – Ведерниковой Т.В. (доверенность от 02.12.2013), от заинтересованного лица – Управления Федеральной антимонопольной службы по Республике Адыгея (ИНН 0105019739, </w:t>
      </w: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br/>
        <w:t xml:space="preserve">ОГРН 1020100702038) –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Точиева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 Б.Б.  (доверенность от 09.01.2014</w:t>
      </w:r>
      <w:proofErr w:type="gram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), </w:t>
      </w:r>
      <w:proofErr w:type="gram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от третьего лица – общества с ограниченной ответственностью «Компания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Энерт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» (ИНН 0105051965, </w:t>
      </w: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br/>
        <w:t xml:space="preserve">ОГРН 1070105001746) – Ванина И.В. (доверенность от 01.10.2013), рассмотрев кассационную жалобу открытого акционерного общества «Кубаньэнерго» на решение Арбитражного суда Республики Адыгея от 13.11.2013 (судья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Шагуч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 Б.А.) и постановление Пятнадцатого арбитражного апелляционного суда от 06.02.2014 (судьи Соловьёва М.В., Ефимова О.Ю., Сулименко О.А.) по делу № А01-1786/2013</w:t>
      </w:r>
      <w:proofErr w:type="gram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, установил следующее.</w:t>
      </w:r>
    </w:p>
    <w:p w:rsidR="00F77B43" w:rsidRPr="00F77B43" w:rsidRDefault="00F77B43" w:rsidP="00F77B4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Открытое акционерное общество «Кубаньэнерго» (далее – общество) обратилось в Арбитражный суд Республики Адыгея с заявлением к Управлению Федеральной антимонопольной службы России по Республике Адыгея (далее – антимонопольный орган) о признании недействительными решения и предписания от 10.06.2013 по делу </w:t>
      </w: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br/>
        <w:t>№ А-15/10-13.</w:t>
      </w:r>
    </w:p>
    <w:p w:rsidR="00F77B43" w:rsidRPr="00F77B43" w:rsidRDefault="00F77B43" w:rsidP="00F77B4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К участию в деле в качестве третьего лица, не заявляющего самостоятельных требований на предмет спора, привлечено общество с ограниченной ответственностью «Компания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Энерт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» (далее – ООО «Компания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Энерт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»).</w:t>
      </w:r>
    </w:p>
    <w:p w:rsidR="00F77B43" w:rsidRPr="00F77B43" w:rsidRDefault="00F77B43" w:rsidP="00F77B4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Решением суда от 13.11.2013, оставленным без изменения постановлением апелляционной инстанции от 06.02.2014, в удовлетворении заявленных требований отказано. Судебные акты мотивированы тем, что действия общества, занимающего доминирующее положение, носят признаки уклонения от заключения договора и ущемляют интересы заявителя на право увеличения мощности его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энергопринимающего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 устройства, что является злоупотреблением доминирующим положением.</w:t>
      </w:r>
    </w:p>
    <w:p w:rsidR="00F77B43" w:rsidRPr="00F77B43" w:rsidRDefault="00F77B43" w:rsidP="00F77B4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В кассационной жалобе общество просит отменить судебные акты и удовлетворить заявленные требования. В обоснование жалобы указано на то, что письм</w:t>
      </w:r>
      <w:proofErr w:type="gram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а </w:t>
      </w: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br/>
        <w:t>ООО</w:t>
      </w:r>
      <w:proofErr w:type="gram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 «Компания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Энерт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» о намерении увеличить существующую разрешенную мощность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энергопринимающего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 устройства не соответствуют требованиям, предъявляемым к заявкам на осуществление технического присоединения. Следовательно, у общества отсутствовали основания для выдачи технических условий на осуществление технологического присоединения ООО «Компания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Энерт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» и </w:t>
      </w: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lastRenderedPageBreak/>
        <w:t xml:space="preserve">направления в уполномоченный орган заявления об установлении тарифа на технологическое присоединение по </w:t>
      </w:r>
      <w:proofErr w:type="gram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индивидуальному проекту</w:t>
      </w:r>
      <w:proofErr w:type="gram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.</w:t>
      </w:r>
    </w:p>
    <w:p w:rsidR="00F77B43" w:rsidRPr="00F77B43" w:rsidRDefault="00F77B43" w:rsidP="00F77B4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В отзывах на кассационную жалобу антимонопольный орган </w:t>
      </w:r>
      <w:proofErr w:type="gram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и ООО</w:t>
      </w:r>
      <w:proofErr w:type="gram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 «Компания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Энерт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» просят оставить судебные акты без изменения, указывая на их законность и обоснованность.</w:t>
      </w:r>
    </w:p>
    <w:p w:rsidR="00F77B43" w:rsidRPr="00F77B43" w:rsidRDefault="00F77B43" w:rsidP="00F77B4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В судебном заседании представитель общества поддержал доводы жалобы, представители антимонопольного орган</w:t>
      </w:r>
      <w:proofErr w:type="gram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а и ООО</w:t>
      </w:r>
      <w:proofErr w:type="gram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 «Компания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Энерт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» поддержали доводы отзывов.</w:t>
      </w:r>
    </w:p>
    <w:p w:rsidR="00F77B43" w:rsidRPr="00F77B43" w:rsidRDefault="00F77B43" w:rsidP="00F77B4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Федеральный арбитражный суд Северо-Кавказского округа, изучив материалы дела, оценив доводы жалобы и отзывов,  считает, что кассационная жалоба не подлежит удовлетворению по следующим основаниям.</w:t>
      </w:r>
    </w:p>
    <w:p w:rsidR="00F77B43" w:rsidRPr="00F77B43" w:rsidRDefault="00F77B43" w:rsidP="00F77B4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Как видно из материалов дела, ООО «Компания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Энерт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» обратилось в антимонопольный орган с заявлением от 31.01.2013 по вопросу обоснованности отказа общества в выдаче технических условий на увеличение мощности на 200 кВт с точкой поставки: Дробильно-сортировочная установка ст. Ханская, с разрешенной мощностью 450 кВт, категория надежности – 3, источник электроснабжения ПС 110/10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кВ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 «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Промзона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». В ходе рассмотрения заявления антимонопольный орган установил, чт</w:t>
      </w:r>
      <w:proofErr w:type="gram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о </w:t>
      </w: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br/>
        <w:t>ООО</w:t>
      </w:r>
      <w:proofErr w:type="gram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 «Компания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Энерт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» в связи с производственной необходимостью письмом от 26.12.2011 года обратилось в общество с заявлением об увеличении мощности электроэнергии по действующему договору на 200 кВт, однако это заявление осталось без ответа. </w:t>
      </w:r>
      <w:proofErr w:type="gram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В связи с этим ООО «Компания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Энерт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» 20.02.2012 повторно обратилось в общество с заявлением об увеличении мощности. 22 февраля 2012 года обществом дан ответ об отказе в выдаче технических условий, по причине отсутствия достаточной мощности на источнике электроснабжения общества, руководствуясь при этом пунктом 27 Правил технологического присоединения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энергопринимающих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 устройств (энергетических установок) юридических и физических лиц к электрическим сетям, утвержденных постановлением</w:t>
      </w:r>
      <w:proofErr w:type="gram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 Правительства Российской Федерации от 27.12.2004 </w:t>
      </w: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br/>
        <w:t>№ 861(далее – Правила). В отказе общество указало, что при соглас</w:t>
      </w:r>
      <w:proofErr w:type="gram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ии ООО</w:t>
      </w:r>
      <w:proofErr w:type="gram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 «Компания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Энерт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» оно готово осуществить технологическое присоединение по индивидуальному проекту.</w:t>
      </w:r>
    </w:p>
    <w:p w:rsidR="00F77B43" w:rsidRPr="00F77B43" w:rsidRDefault="00F77B43" w:rsidP="00F77B4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ООО «Компания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Энерт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» письмом от 24.02.2012 обратилось к обществу с просьбой предоставить информацию об объеме мероприятий, необходимых для осуществления технологического присоединения к электросетям общества с максимальной мощностью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энергопринимающего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 устройства 650 кВт. Общество сообщило, что для выдачи информации необходимо согласие ООО «Компания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Энерт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» на оформление технических условий по индивидуальному проекту. 30 июля 2012 год</w:t>
      </w:r>
      <w:proofErr w:type="gram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а ООО</w:t>
      </w:r>
      <w:proofErr w:type="gram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 «Компания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Энерт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» вновь обратилось в общество с заявлением об увеличении мощности, на которое получен ответ о том, что такое увеличение возможно только по индивидуальному проекту.</w:t>
      </w:r>
    </w:p>
    <w:p w:rsidR="00F77B43" w:rsidRPr="00F77B43" w:rsidRDefault="00F77B43" w:rsidP="00F77B4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proofErr w:type="gram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При этом общество 12.03.2012 согласовало технические условия на присоединение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энергопринимающих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 устройств с мощностью 350 кВт, основной источник питания ПС 110/10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кВ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 «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Промзона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», и заключило договор об осуществлении технологического присоединения к электрическим сетям от 02.04.2012 № 20401-12-00070276-1 с другой организацией на общих условиях, а не по индивидуальному проекту, как это было предложено ООО «Компания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Энерт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».</w:t>
      </w:r>
      <w:proofErr w:type="gramEnd"/>
    </w:p>
    <w:p w:rsidR="00F77B43" w:rsidRPr="00F77B43" w:rsidRDefault="00F77B43" w:rsidP="00F77B4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По результатам рассмотрения заявления и представленных материалов антимонопольный орган пришел к выводу о нарушении обществом сроков и порядка рассмотрения заявок ООО «Компания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Энерт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» от 26.12.2011, 30.07.2012 и 19.11.2012, предусмотренных Правилами, в части необоснованного уклонения от заключения договора технологического присоединения, что является злоупотреблением доминирующим положением. В связи с этим принято решение от 10.06.2013 о признании общества нарушившим пункт 5 части 1 статьи 10 Федерального закона от 26.07.2006           № 135-Ф3 «О защите конкуренции» (далее – Закон о защите конкуренции), на основании которого выдано предписание от 10.06.2013 о прекращении нарушения антимонопольного законодательства.</w:t>
      </w:r>
    </w:p>
    <w:p w:rsidR="00F77B43" w:rsidRPr="00F77B43" w:rsidRDefault="00F77B43" w:rsidP="00F77B4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Не согласившись с решением и предписанием антимонопольного органа, общество обратилось в арбитражный суд с заявлением о признании их </w:t>
      </w:r>
      <w:proofErr w:type="gram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недействительными</w:t>
      </w:r>
      <w:proofErr w:type="gram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.</w:t>
      </w:r>
    </w:p>
    <w:p w:rsidR="00F77B43" w:rsidRPr="00F77B43" w:rsidRDefault="00F77B43" w:rsidP="00F77B4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Отказывая в удовлетворении заявленных требований, судебные инстанции обоснованно руководствовались следующим.</w:t>
      </w:r>
    </w:p>
    <w:p w:rsidR="00F77B43" w:rsidRPr="00F77B43" w:rsidRDefault="00F77B43" w:rsidP="00F77B4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В соответствии с частью 1 статьи 10 Закона о защите конкуренции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</w:p>
    <w:p w:rsidR="00F77B43" w:rsidRPr="00F77B43" w:rsidRDefault="00F77B43" w:rsidP="00F77B4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proofErr w:type="gram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Согласно части 1 статьи 26 Федерального закона от 26.03.2003 № 35-ФЗ </w:t>
      </w: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br/>
        <w:t xml:space="preserve">«Об электроэнергетике» технологическое присоединение к объектам электросетевого хозяйства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энергопринимающих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 устройств потребителей электрической энергии осуществляется в порядке, установленном Правительством Российской Федерации, на основании договора об осуществлении технологического присоединения к объектам электросетевого хозяйства, заключаемого между сетевой организацией и обратившимся к ней лицом, и носит однократный характер.</w:t>
      </w:r>
      <w:proofErr w:type="gram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 Указанный договор является публичным. Технологическое присоединение осуществляется в сроки, определяемые в порядке, </w:t>
      </w: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lastRenderedPageBreak/>
        <w:t>установленном Правительством Российской Федерации или уполномоченным им федеральным органом исполнительной власти.</w:t>
      </w:r>
    </w:p>
    <w:p w:rsidR="00F77B43" w:rsidRPr="00F77B43" w:rsidRDefault="00F77B43" w:rsidP="00F77B4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proofErr w:type="gram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Из абзаца 2 пункта 3 Правил технологического присоединения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энергопринимающих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 устройств, утвержденных постановлением Правительства Российской Федерации от 27.12.2004 № 861 (далее – Правила № 861) следует, что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лицами, указанными в пунктах 12.1, 14 и 34 этих Правил, обратившимися в сетевую организацию с заявкой на технологическое</w:t>
      </w:r>
      <w:proofErr w:type="gram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 присоединение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энергопринимающих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 устройств, принадлежащих им на праве собственности или ином предусмотренном законом основании (далее – заявка), а также выполнить в отношении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энергопринимающих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 устройств таких лиц мероприятия по технологическому присоединению, а пункт 6 Правил устанавливает обязательность заключения для сетевой организации договора об осуществление технологического присоединения.</w:t>
      </w:r>
    </w:p>
    <w:p w:rsidR="00F77B43" w:rsidRPr="00F77B43" w:rsidRDefault="00F77B43" w:rsidP="00F77B4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Сетевая организация в соответствии с пунктом 15 Правил № 861 обязана направить заявителю для подписания проект договора и технические условия как неотъемлемое приложение к договору. При этом при присоединении по </w:t>
      </w:r>
      <w:proofErr w:type="gram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индивидуальному проекту</w:t>
      </w:r>
      <w:proofErr w:type="gram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 сетевая организация не может направить заявителю проект договора ранее момента утверждения размера платы за технологическое присоединение уполномоченным органом исполнительной власти. </w:t>
      </w:r>
      <w:proofErr w:type="gram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При отсутствии сведений и документов, указанных в пунктах 9, 10 и 12 – 14 настоящих Правил,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</w:t>
      </w:r>
      <w:proofErr w:type="gram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 сведений (абзац 8 пункта 15 Правил № 861).</w:t>
      </w:r>
    </w:p>
    <w:p w:rsidR="00F77B43" w:rsidRPr="00F77B43" w:rsidRDefault="00F77B43" w:rsidP="00F77B4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В случае</w:t>
      </w:r>
      <w:proofErr w:type="gram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,</w:t>
      </w:r>
      <w:proofErr w:type="gram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 если у сетевой организации отсутствует техническая возможность технологического присоединения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энергопринимающих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 устройств, указанных в заявке, технологическое присоединение осуществляется по индивидуальному проекту в порядке, установленном настоящими Правилами, с учетом особенностей, установленных настоящим разделом (пункт 30 Правил № 861).</w:t>
      </w:r>
    </w:p>
    <w:p w:rsidR="00F77B43" w:rsidRPr="00F77B43" w:rsidRDefault="00F77B43" w:rsidP="00F77B4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Порядок выдачи технических условий и заключения договора об осуществлении технологического присоединения регламентирован пунктами 30.1 – 30.5Правил № 861. Согласно пункта 30.1 вышеуказанных </w:t>
      </w:r>
      <w:proofErr w:type="gram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Правил</w:t>
      </w:r>
      <w:proofErr w:type="gram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 сетевая организация в 30-дневный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проекту. Между тем, продление указанных сроков в связи со сложным характером технических условий нормативно-правовой документацией не предусмотрено.</w:t>
      </w:r>
    </w:p>
    <w:p w:rsidR="00F77B43" w:rsidRPr="00F77B43" w:rsidRDefault="00F77B43" w:rsidP="00F77B4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Суды установили, что 26.12.2011 ООО «Компания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Энерт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» обратилось в общество с письмом (заявкой) на увеличение существующей мощности по объекту «Дробильно-сортировочная установка в ст. Ханской» (450 кВт) на 200 кВт. Общество направило в адрес ООО «Компания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Энерт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» ответ от 22.02.2012 №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АдЭС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/113/183 с отказом в выдаче технических условий на заявку от 26.12.2011 (</w:t>
      </w:r>
      <w:proofErr w:type="gram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спустя</w:t>
      </w:r>
      <w:proofErr w:type="gram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 более полутора месяцев). При этом уведомлений об отсутствии сведений и документов в заявке в адрес ООО «Компания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Энерт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» не направлялось. В ответе от 06.09.2012 №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АдЭС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/114/362 (</w:t>
      </w:r>
      <w:proofErr w:type="gram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спустя</w:t>
      </w:r>
      <w:proofErr w:type="gram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 более </w:t>
      </w:r>
      <w:proofErr w:type="gram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месяца</w:t>
      </w:r>
      <w:proofErr w:type="gram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), на аналогичную заявку ООО «Компания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Энерт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» от 30.07.2012, общество ссылается на необходимость подачи собственником объекта заявки в сетевую организацию в соответствии с Правилами № 861. На заявк</w:t>
      </w:r>
      <w:proofErr w:type="gram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у ООО</w:t>
      </w:r>
      <w:proofErr w:type="gram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 «Компания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Энерт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» от 19.11.2012 обществом направлен ответ от 21.12.2012 №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АдЭС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/113/1603 с содержанием, аналогичным изложенному в письме от 22.02.2012 №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АдЭС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/113/183.</w:t>
      </w:r>
    </w:p>
    <w:p w:rsidR="00F77B43" w:rsidRPr="00F77B43" w:rsidRDefault="00F77B43" w:rsidP="00F77B4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proofErr w:type="gram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Суды оценили указанные обстоятельства и пришли к выводу о том, что в ответах от 22.02.2012 №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АдЭС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/113/183 и от 21.12.2012 №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АдЭС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/113/1603 общество отказало               ООО «Компания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Энерт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» в выдаче технических условий по причине отсутствия достаточной мощности и сообщило о готовности осуществить технологическое присоединение по индивидуальному проекту, тем самым подтверждая, что заявление ООО «Компания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Энерт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» необходимо рассматривать как заявку</w:t>
      </w:r>
      <w:proofErr w:type="gram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 на увеличение мощности, соответственно, и выдаче технических условий, а не как запрос о возможности технологического присоединения.</w:t>
      </w:r>
    </w:p>
    <w:p w:rsidR="00F77B43" w:rsidRPr="00F77B43" w:rsidRDefault="00F77B43" w:rsidP="00F77B4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При этом антимонопольный орган установил, что 12.03.2012 общество согласовало технические условия на присоединение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энергопринимающих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 устройств с мощностью           350 кВт, основной источник питания ПС 110/10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кВ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 «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Промзона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» и заключило договор об осуществлении технологического присоединения к электрическим сетям от 02.04.2012             № 20401-12-00070276-1 на общих условиях без </w:t>
      </w:r>
      <w:proofErr w:type="gram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индивидуального проекта</w:t>
      </w:r>
      <w:proofErr w:type="gram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 с другой организацией. В материалы дела представлен договор № 20401-12-00070276-1 </w:t>
      </w: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br/>
        <w:t xml:space="preserve">от 02.04.2012 об осуществлении технологического присоединения к электрическим сетям другой организации, на основании согласованных технических условий для присоединения к электрическим сетям ОАО </w:t>
      </w: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lastRenderedPageBreak/>
        <w:t xml:space="preserve">«Кубаньэнерго». Точкой поставки определен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Белореченский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 район,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пос</w:t>
      </w:r>
      <w:proofErr w:type="gram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.Р</w:t>
      </w:r>
      <w:proofErr w:type="gram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одники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,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ул.Промышленная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, 12Н. В пункте 8 технических условий основным источником питания указан ПС 110/10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кВ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 «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Промзона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».</w:t>
      </w:r>
    </w:p>
    <w:p w:rsidR="00F77B43" w:rsidRPr="00F77B43" w:rsidRDefault="00F77B43" w:rsidP="00F77B4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Суды установили, чт</w:t>
      </w:r>
      <w:proofErr w:type="gram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о ООО</w:t>
      </w:r>
      <w:proofErr w:type="gram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 «Компания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Энерт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» обращалось к обществу за присоединением к электрическим сетям энергосистемы и электроснабжения электроустановок дробильно-сортировочной установки, с таким же источником питания – ПС 110/10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кВ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 «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Промзона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», как и другая организация, начиная с 26.12.2011.</w:t>
      </w:r>
    </w:p>
    <w:p w:rsidR="00F77B43" w:rsidRPr="00F77B43" w:rsidRDefault="00F77B43" w:rsidP="00F77B4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Общество при рассмотрении дела в суде сослалось на заключение от 29.05.2013 №3332/15-09 Северо-Кавказского управления «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Ростехнадзора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» «О выдаче заключения о наличии (отсутствии) технической возможности технологического присоединения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энергопринимающих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 устройств к ПС 110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кВ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 «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Промзона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», в котором указано, что техническая возможность для технологического присоединения по фидеру (линии) ВЛ-10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кВ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 Пз-9 отсутствует. </w:t>
      </w:r>
      <w:proofErr w:type="gram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Суды оценили указанное заключение и пришли к выводу о том, что данное заключение сделано на момент когда другая организация уже была подключена,</w:t>
      </w: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br/>
        <w:t xml:space="preserve"> в связи с чем,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Ростехнадзор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 выдало свое заключение на основании суммарной разрешенной мощности фактически подключенных к подстанции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энергопринимающих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 устройств потребителей сложившийся на 21.05.2013, а не на момент подачи спорной заявки.</w:t>
      </w:r>
      <w:proofErr w:type="gram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 Следовательно, вышеуказанное заключение не применимо к действиям совершенным в период с 26.12.2011 (первое обращение ООО «Компания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Энерт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») по 12.03.2012 (выдача технических условий другой организации).</w:t>
      </w:r>
    </w:p>
    <w:p w:rsidR="00F77B43" w:rsidRPr="00F77B43" w:rsidRDefault="00F77B43" w:rsidP="00F77B4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Суды также указали, что в случае отсутствия технической возможности и подключения заявителя по </w:t>
      </w:r>
      <w:proofErr w:type="gram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индивидуальному проекту</w:t>
      </w:r>
      <w:proofErr w:type="gram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 общество должно было обратиться с заявлением об установлении платы за технологическое присоединение по индивидуальному проекту в уполномоченный орган исполнительной власти в области государственного регулирования тарифов. Однако на момент принятия решения антимонопольного органа общество такое заявление не направляло, что привело к ущемлению права заявителя в увеличении мощности в сроки, предусмотренные Правилами № 861.</w:t>
      </w:r>
    </w:p>
    <w:p w:rsidR="00F77B43" w:rsidRPr="00F77B43" w:rsidRDefault="00F77B43" w:rsidP="00F77B4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proofErr w:type="gram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При указанных обстоятельствах является обоснованным вывод судебных инстанций о том, что действия общества, занимающего доминирующее положение, </w:t>
      </w: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br/>
        <w:t xml:space="preserve">в части нарушения срока и порядка рассмотрения заявок ООО «Компания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Энерт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», а также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ненаправления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проекту, носят признаки уклонения от заключения договора и ущемляют интересы заявителя</w:t>
      </w:r>
      <w:proofErr w:type="gram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 на право увеличения мощности его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энергопринимающего</w:t>
      </w:r>
      <w:proofErr w:type="spellEnd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 устройства, что является злоупотреблением доминирующим положением.</w:t>
      </w:r>
    </w:p>
    <w:p w:rsidR="00F77B43" w:rsidRPr="00F77B43" w:rsidRDefault="00F77B43" w:rsidP="00F77B4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Доводы кассационной жалобы были предметом рассмотрения судов обеих инстанций и получили надлежащую правовую оценку. Переоценка доказательств и установленных судами фактических обстоятельств дела в силу статьи 286 Арбитражного процессуального кодекса Российской Федерации не входит в компетенцию суда кассационной инстанции.</w:t>
      </w:r>
    </w:p>
    <w:p w:rsidR="00F77B43" w:rsidRPr="00F77B43" w:rsidRDefault="00F77B43" w:rsidP="00F77B4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Руководствуясь статьями 274, 286 – 289 Арбитражного процессуального кодекса Российской Федерации, Федеральный арбитражный суд Северо-Кавказского округа</w:t>
      </w:r>
    </w:p>
    <w:p w:rsidR="00F77B43" w:rsidRPr="00F77B43" w:rsidRDefault="00F77B43" w:rsidP="00F77B4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 </w:t>
      </w:r>
    </w:p>
    <w:p w:rsidR="00F77B43" w:rsidRPr="00F77B43" w:rsidRDefault="00F77B43" w:rsidP="00F77B43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F77B43">
        <w:rPr>
          <w:rFonts w:ascii="Arial" w:eastAsia="Times New Roman" w:hAnsi="Arial" w:cs="Arial"/>
          <w:b/>
          <w:bCs/>
          <w:color w:val="383C45"/>
          <w:sz w:val="18"/>
          <w:szCs w:val="18"/>
          <w:bdr w:val="none" w:sz="0" w:space="0" w:color="auto" w:frame="1"/>
          <w:lang w:eastAsia="ru-RU"/>
        </w:rPr>
        <w:t>ПОСТАНОВИЛ:</w:t>
      </w:r>
    </w:p>
    <w:p w:rsidR="00F77B43" w:rsidRPr="00F77B43" w:rsidRDefault="00F77B43" w:rsidP="00F77B43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 </w:t>
      </w:r>
    </w:p>
    <w:p w:rsidR="00F77B43" w:rsidRPr="00F77B43" w:rsidRDefault="00F77B43" w:rsidP="00F77B4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решение Арбитражного суда Республики Адыгея от 13.11.2013 и постановление Пятнадцатого арбитражного апелляционного суда от 06.02.2014 по делу № А01-1786/2013 оставить без изменения, кассационную жалобу – без удовлетворения.</w:t>
      </w:r>
    </w:p>
    <w:p w:rsidR="00F77B43" w:rsidRPr="00F77B43" w:rsidRDefault="00F77B43" w:rsidP="00F77B4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Постановление вступает в законную силу со дня его принятия.</w:t>
      </w:r>
    </w:p>
    <w:p w:rsidR="00F77B43" w:rsidRPr="00F77B43" w:rsidRDefault="00F77B43" w:rsidP="00F77B4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 </w:t>
      </w:r>
    </w:p>
    <w:p w:rsidR="00F77B43" w:rsidRPr="00F77B43" w:rsidRDefault="00F77B43" w:rsidP="00F77B4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Председательствующий                                                                                 Е.В. Андреева</w:t>
      </w:r>
    </w:p>
    <w:p w:rsidR="00F77B43" w:rsidRPr="00F77B43" w:rsidRDefault="00F77B43" w:rsidP="00F77B4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 xml:space="preserve">Судьи                                                                                                                И.М. </w:t>
      </w:r>
      <w:proofErr w:type="spellStart"/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Денека</w:t>
      </w:r>
      <w:proofErr w:type="spellEnd"/>
    </w:p>
    <w:p w:rsidR="00F77B43" w:rsidRPr="00F77B43" w:rsidRDefault="00F77B43" w:rsidP="00F77B4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      М.Г. Калашникова</w:t>
      </w:r>
    </w:p>
    <w:p w:rsidR="00F77B43" w:rsidRPr="00F77B43" w:rsidRDefault="00F77B43" w:rsidP="00F77B4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F77B43">
        <w:rPr>
          <w:rFonts w:ascii="Arial" w:eastAsia="Times New Roman" w:hAnsi="Arial" w:cs="Arial"/>
          <w:color w:val="383C45"/>
          <w:sz w:val="18"/>
          <w:szCs w:val="18"/>
          <w:bdr w:val="none" w:sz="0" w:space="0" w:color="auto" w:frame="1"/>
          <w:lang w:eastAsia="ru-RU"/>
        </w:rPr>
        <w:t> </w:t>
      </w:r>
    </w:p>
    <w:p w:rsidR="00362022" w:rsidRDefault="00362022">
      <w:bookmarkStart w:id="0" w:name="_GoBack"/>
      <w:bookmarkEnd w:id="0"/>
    </w:p>
    <w:sectPr w:rsidR="0036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43"/>
    <w:rsid w:val="00362022"/>
    <w:rsid w:val="00F7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15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2485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2014-04-30T05:02:00Z</dcterms:created>
  <dcterms:modified xsi:type="dcterms:W3CDTF">2014-04-30T05:27:00Z</dcterms:modified>
</cp:coreProperties>
</file>