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812" w:hanging="0"/>
        <w:rPr>
          <w:bCs/>
          <w:sz w:val="28"/>
          <w:szCs w:val="28"/>
        </w:rPr>
      </w:pPr>
      <w:r>
        <w:rPr/>
      </w:r>
    </w:p>
    <w:p>
      <w:pPr>
        <w:pStyle w:val="Standard"/>
        <w:tabs>
          <w:tab w:val="clear" w:pos="708"/>
          <w:tab w:val="left" w:pos="3828" w:leader="none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andard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№001/06/99-270/2023 о результатах внеплановой проверки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02 июня 2023 года</w:t>
        <w:tab/>
        <w:tab/>
        <w:tab/>
        <w:tab/>
        <w:tab/>
        <w:tab/>
        <w:tab/>
        <w:tab/>
        <w:tab/>
        <w:t>г. Майкоп</w:t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 30.05.2023</w:t>
      </w:r>
    </w:p>
    <w:p>
      <w:pPr>
        <w:pStyle w:val="Standard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 полном объеме изготовлено 02.06.2023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 приказом Управления Федеральной антимонопольной службы по Республике Адыгея Адыгейского УФАС России (далее – Адыгейское УФАС России) от 24.05.2023 №67/23, инспекция Адыгейского УФАС России по осуществлению внеплановых проверок (далее – Инспекция УФАС) в составе: </w:t>
      </w:r>
      <w:r>
        <w:rPr>
          <w:color w:val="000000" w:themeColor="text1"/>
          <w:sz w:val="28"/>
          <w:szCs w:val="28"/>
          <w:lang w:eastAsia="ru-RU"/>
        </w:rPr>
        <w:t>руководителя Инспекции – &lt;...&gt;, начальника отдела управления; членов Инспекции:</w:t>
      </w:r>
      <w:r>
        <w:rPr/>
        <w:t xml:space="preserve"> &lt;...&gt;</w:t>
      </w:r>
      <w:r>
        <w:rPr>
          <w:sz w:val="28"/>
          <w:szCs w:val="28"/>
        </w:rPr>
        <w:t>, главного специалиста-эксперта, &lt;...&gt;, ведущего специалиста-эксперта,</w:t>
      </w:r>
      <w:r>
        <w:rPr/>
        <w:t xml:space="preserve"> </w:t>
      </w:r>
      <w:r>
        <w:rPr>
          <w:sz w:val="28"/>
          <w:szCs w:val="28"/>
        </w:rPr>
        <w:t xml:space="preserve">проведя внеплановую проверку соблюдения Государственным бюджетным учреждением здравоохранения Республики Адыгея </w:t>
      </w:r>
      <w:r>
        <w:rPr>
          <w:bCs/>
          <w:sz w:val="28"/>
          <w:szCs w:val="28"/>
        </w:rPr>
        <w:t>«Адыгейский республиканский клинический психоневрологический диспансер»</w:t>
      </w:r>
      <w:r>
        <w:rPr>
          <w:sz w:val="28"/>
          <w:szCs w:val="28"/>
        </w:rPr>
        <w:t xml:space="preserve"> (далее – Заказчик) требований Закона о контрактной системе по размещению в реестре контрактов информации об исполнении контракта №17-05/22 от 28.12.2022 на оказание услуг по проведению лабораторного исследования на предмет возможного инфицирования новой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(реестровая запись контракта №2010501722723000001), </w:t>
      </w:r>
    </w:p>
    <w:p>
      <w:pPr>
        <w:pStyle w:val="Normal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послужило обращение АСО «Общественный контроль» от 12.05.2023 исх. №051867 о нарушении Заказчиком требований, установленных частями 2-4,6 статьи 103 Закона о контрактной системе.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внеплановой проверки Инспекция УФАС установила следующее.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28.12.2023 между Заказчиком и Государственным бюджетным учреждением здравоохранения Республики Адыгея «Майкопская городская клиническая больница» (далее – Исполнитель) на основании пункта 9 части 1 статьи 93 Закона о контрактной системе заключен Контракт №17-05/22 от 28.12.2022 на проведение лабораторных исследований на предмет возможного инфицирования новой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(далее – Контракт) с ценой 103 886,50рублей.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8, 10, 11 и 13 части 2 статьи 103 Закона о контрактной системе в Реестр контрактов включаются следующие документы и информация: информация об изменении контракта с указанием условий контракта, которые были изменены;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неустоек (штрафов, пеней) в связи с ненадлежащим исполнением обязательств, предусмотренных контрактом, стороной контракта; информация о расторжении контракта с указанием оснований его расторжения; документ о приемке в случае принятия решения о приемке поставленного товара, выполненной работы, оказанной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заказчиком реестра контрактов определен частями 2-4,6 статьи 103 Закона о контрактной системе и Правилами ведения реестра контрактов, заключенных заказчиками, утвержденных Постановлением Правительства РФ от 27.01.2022 №60 (далее – Правила).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подпунктам «</w:t>
      </w:r>
      <w:r>
        <w:rPr>
          <w:sz w:val="28"/>
          <w:szCs w:val="28"/>
          <w:u w:val="single"/>
        </w:rPr>
        <w:t>л</w:t>
      </w:r>
      <w:r>
        <w:rPr>
          <w:sz w:val="28"/>
          <w:szCs w:val="28"/>
        </w:rPr>
        <w:t>» и «т» пункта 10 Правил в реестр контрактов подлежит включению информация о сроке исполнения контракта, каждого отдельного этапа исполнения контракта,</w:t>
      </w: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sz w:val="28"/>
          <w:szCs w:val="28"/>
        </w:rPr>
        <w:t>контракт (с прилагаемыми документами) в форме электронного документа по результатам проведения электронных процедур, а также если при осуществлении закупки у единственного поставщика (подрядчика, исполнителя) в случаях, предусмотренных пунктами .2,6,17 части 1 статьи 93 Закона о контрактной системе либо в форме электронного образа бумажного документа.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подпунктами «а», «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» и «е» </w:t>
      </w:r>
      <w:r>
        <w:rPr>
          <w:b/>
          <w:sz w:val="28"/>
          <w:szCs w:val="28"/>
        </w:rPr>
        <w:t>пункта 11</w:t>
      </w:r>
      <w:r>
        <w:rPr>
          <w:sz w:val="28"/>
          <w:szCs w:val="28"/>
        </w:rPr>
        <w:t xml:space="preserve"> Правил в реестр контрактов подлежат включению, в том числе, информация и документы </w:t>
      </w:r>
      <w:r>
        <w:rPr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исполнении контракта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(электронный документ или электронный образ бумажного документа)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документ о приемке</w:t>
      </w:r>
      <w:r>
        <w:rPr>
          <w:sz w:val="28"/>
          <w:szCs w:val="28"/>
        </w:rPr>
        <w:t>, платежный документ, документ, определяющий ненадлежащее исполнение контракта или неисполнение контракта с указанием допущенных нарушений.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103 Закона о контрактной системе,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пяти рабочих дней с даты внесения таких изменений. В порядке, установленном в соответствии с частью 6 настоящей статьи, в указанный орган направляется информация, указанная в пунктах 10 и 11 части 2 настоящей статьи, </w:t>
      </w:r>
      <w:r>
        <w:rPr>
          <w:b/>
          <w:sz w:val="28"/>
          <w:szCs w:val="28"/>
        </w:rPr>
        <w:t>не позднее пяти рабочих дней</w:t>
      </w:r>
      <w:r>
        <w:rPr>
          <w:sz w:val="28"/>
          <w:szCs w:val="28"/>
        </w:rPr>
        <w:t xml:space="preserve">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 пунктом 13 части 2 настоящей статьи, </w:t>
      </w:r>
      <w:r>
        <w:rPr>
          <w:b/>
          <w:sz w:val="28"/>
          <w:szCs w:val="28"/>
        </w:rPr>
        <w:t>не позднее одного рабочего дня</w:t>
      </w:r>
      <w:r>
        <w:rPr>
          <w:sz w:val="28"/>
          <w:szCs w:val="28"/>
        </w:rPr>
        <w:t xml:space="preserve"> со дня, следующего за днем подписания документа о приемке. При этом, если в соответствии с настоящим Федеральным законом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порядке, установленном в соответствии с частью 6 настоящей статьи, </w:t>
      </w:r>
      <w:r>
        <w:rPr>
          <w:b/>
          <w:sz w:val="28"/>
          <w:szCs w:val="28"/>
        </w:rPr>
        <w:t>не позднее трех рабочих дней</w:t>
      </w:r>
      <w:r>
        <w:rPr>
          <w:sz w:val="28"/>
          <w:szCs w:val="28"/>
        </w:rPr>
        <w:t xml:space="preserve">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Пунктом 4.1. Контракта установлено: </w:t>
      </w:r>
      <w:r>
        <w:rPr>
          <w:i/>
          <w:sz w:val="28"/>
          <w:szCs w:val="28"/>
        </w:rPr>
        <w:t>«Оказание услуг осуществляется с даты заключения Контракта и до 31.12.2022 года».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Согласно пункту 4.2.2.: </w:t>
      </w:r>
      <w:r>
        <w:rPr>
          <w:i/>
          <w:sz w:val="28"/>
          <w:szCs w:val="28"/>
        </w:rPr>
        <w:t>«При приеме-передаче оказанных Услуг Заказчиком от Исполнителя, последний передает надлежаще оформленные: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счет или счет-фактуру</w:t>
      </w:r>
      <w:r>
        <w:rPr>
          <w:i/>
          <w:sz w:val="28"/>
          <w:szCs w:val="28"/>
        </w:rPr>
        <w:t xml:space="preserve"> (в случае если Исполнитель является налогоплательщиком НДС);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акт оказанных услуг</w:t>
      </w:r>
      <w:r>
        <w:rPr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4.2.4. Заказчик </w:t>
      </w:r>
      <w:r>
        <w:rPr>
          <w:i/>
          <w:sz w:val="28"/>
          <w:szCs w:val="28"/>
          <w:u w:val="single"/>
        </w:rPr>
        <w:t>в течение одного рабочего дня</w:t>
      </w:r>
      <w:r>
        <w:rPr>
          <w:i/>
          <w:sz w:val="28"/>
          <w:szCs w:val="28"/>
        </w:rPr>
        <w:t xml:space="preserve"> со дня завершения приемки подписывает акт оказанных Услуг либо направляет Исполнителю в письменной форме мотивированный отказ от подписания акта оказания Услуг».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Инспекцией УФАС, Заказчиком превышены законодательно установленные максимальные сроки направления надлежащих документов о Контракте для размещения в реестре контрактов, а именно: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№0000-000132 от </w:t>
      </w:r>
      <w:r>
        <w:rPr>
          <w:b/>
          <w:sz w:val="28"/>
          <w:szCs w:val="28"/>
        </w:rPr>
        <w:t xml:space="preserve">28.12.2022 </w:t>
      </w:r>
      <w:r>
        <w:rPr>
          <w:sz w:val="28"/>
          <w:szCs w:val="28"/>
        </w:rPr>
        <w:t>об оказании услуг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 </w:t>
      </w:r>
      <w:r>
        <w:rPr>
          <w:b/>
          <w:sz w:val="28"/>
          <w:szCs w:val="28"/>
        </w:rPr>
        <w:t xml:space="preserve">27.03.2023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55</w:t>
      </w:r>
      <w:r>
        <w:rPr>
          <w:b/>
          <w:i/>
          <w:sz w:val="28"/>
          <w:szCs w:val="28"/>
        </w:rPr>
        <w:t xml:space="preserve"> дней</w:t>
      </w:r>
      <w:r>
        <w:rPr>
          <w:sz w:val="28"/>
          <w:szCs w:val="28"/>
        </w:rPr>
        <w:t>);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Платежное поручение №503585 от </w:t>
      </w:r>
      <w:r>
        <w:rPr>
          <w:b/>
          <w:sz w:val="28"/>
          <w:szCs w:val="28"/>
        </w:rPr>
        <w:t>30.12.2022</w:t>
      </w:r>
      <w:r>
        <w:rPr>
          <w:sz w:val="28"/>
          <w:szCs w:val="28"/>
        </w:rPr>
        <w:t xml:space="preserve"> размещено </w:t>
      </w:r>
      <w:r>
        <w:rPr>
          <w:b/>
          <w:sz w:val="28"/>
          <w:szCs w:val="28"/>
        </w:rPr>
        <w:t xml:space="preserve">27.03.2023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53</w:t>
      </w:r>
      <w:r>
        <w:rPr>
          <w:b/>
          <w:i/>
          <w:sz w:val="28"/>
          <w:szCs w:val="28"/>
        </w:rPr>
        <w:t xml:space="preserve"> дня</w:t>
      </w:r>
      <w:r>
        <w:rPr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законодательно установленного срока размещения надлежащих документов в реестре контрактов является нарушением </w:t>
      </w:r>
      <w:r>
        <w:rPr>
          <w:b/>
          <w:sz w:val="28"/>
          <w:szCs w:val="28"/>
        </w:rPr>
        <w:t>части 3 статьи 103</w:t>
      </w:r>
      <w:r>
        <w:rPr>
          <w:sz w:val="28"/>
          <w:szCs w:val="28"/>
        </w:rPr>
        <w:t xml:space="preserve"> Закона о контрактной системе.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вышеуказанного требования Закона о контрактной системе предусматривает административную ответственность по </w:t>
      </w:r>
      <w:r>
        <w:rPr>
          <w:b/>
          <w:sz w:val="28"/>
          <w:szCs w:val="28"/>
        </w:rPr>
        <w:t>части 2 статьи 7.31 КоАП РФ</w:t>
      </w:r>
      <w:r>
        <w:rPr>
          <w:sz w:val="28"/>
          <w:szCs w:val="28"/>
        </w:rPr>
        <w:t>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>
      <w:pPr>
        <w:pStyle w:val="Normal"/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 3 статьи 103 Закона о контрактной системе.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должностному лицу Адыгейского УФАС России материалы дела №001/06/99-270/2023 для рассмотрения вопроса о возбуждении дела об административном правонарушении. 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708" w:top="1134" w:footer="0" w:bottom="170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1789281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f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NoSpacing"/>
    <w:uiPriority w:val="1"/>
    <w:qFormat/>
    <w:locked/>
    <w:rsid w:val="002e1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Hyperlink"/>
    <w:basedOn w:val="DefaultParagraphFont"/>
    <w:unhideWhenUsed/>
    <w:rsid w:val="002e1130"/>
    <w:rPr>
      <w:color w:val="0000FF"/>
      <w:u w:val="single"/>
    </w:rPr>
  </w:style>
  <w:style w:type="character" w:styleId="Highlightsearch" w:customStyle="1">
    <w:name w:val="highlightsearch"/>
    <w:basedOn w:val="DefaultParagraphFont"/>
    <w:qFormat/>
    <w:rsid w:val="002e1130"/>
    <w:rPr/>
  </w:style>
  <w:style w:type="character" w:styleId="S91" w:customStyle="1">
    <w:name w:val="s_91"/>
    <w:basedOn w:val="DefaultParagraphFont"/>
    <w:qFormat/>
    <w:rsid w:val="002e1130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51cb4"/>
    <w:rPr>
      <w:rFonts w:ascii="Segoe UI" w:hAnsi="Segoe UI" w:eastAsia="Times New Roman" w:cs="Segoe UI"/>
      <w:sz w:val="18"/>
      <w:szCs w:val="18"/>
      <w:lang w:eastAsia="ar-SA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a47a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da47a3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andard" w:customStyle="1">
    <w:name w:val="Standard"/>
    <w:qFormat/>
    <w:rsid w:val="000b5f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NoSpacing">
    <w:name w:val="No Spacing"/>
    <w:link w:val="Style14"/>
    <w:uiPriority w:val="1"/>
    <w:qFormat/>
    <w:rsid w:val="002e113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1" w:customStyle="1">
    <w:name w:val="s_1"/>
    <w:basedOn w:val="Normal"/>
    <w:qFormat/>
    <w:rsid w:val="002655e7"/>
    <w:pPr>
      <w:suppressAutoHyphens w:val="false"/>
      <w:spacing w:beforeAutospacing="1" w:afterAutospacing="1"/>
    </w:pPr>
    <w:rPr>
      <w:lang w:eastAsia="ru-RU"/>
    </w:rPr>
  </w:style>
  <w:style w:type="paragraph" w:styleId="S22" w:customStyle="1">
    <w:name w:val="s_22"/>
    <w:basedOn w:val="Normal"/>
    <w:qFormat/>
    <w:rsid w:val="002655e7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51cb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62a"/>
    <w:pPr>
      <w:spacing w:before="0" w:after="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da47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8"/>
    <w:uiPriority w:val="99"/>
    <w:unhideWhenUsed/>
    <w:rsid w:val="00da47a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20B8-DC19-4A06-9502-54CB47A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Application>LibreOffice/7.4.1.2$Windows_X86_64 LibreOffice_project/3c58a8f3a960df8bc8fd77b461821e42c061c5f0</Application>
  <AppVersion>15.0000</AppVersion>
  <Pages>4</Pages>
  <Words>972</Words>
  <Characters>6740</Characters>
  <CharactersWithSpaces>7700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2023-05-17T07:50:00Z</dcterms:created>
  <dc:creator>Блягоз Рамазан Хазретович</dc:creator>
  <dc:description/>
  <dc:language>ru-RU</dc:language>
  <cp:lastModifiedBy/>
  <cp:lastPrinted>2022-01-26T14:50:00Z</cp:lastPrinted>
  <dcterms:modified xsi:type="dcterms:W3CDTF">2023-06-06T12:25:13Z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