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F73D20"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DB066E" w:rsidRDefault="00DB066E" w:rsidP="007721EE">
      <w:pPr>
        <w:spacing w:after="0" w:line="240" w:lineRule="auto"/>
        <w:ind w:firstLine="709"/>
        <w:jc w:val="both"/>
        <w:rPr>
          <w:rFonts w:ascii="Times New Roman" w:eastAsia="Times New Roman" w:hAnsi="Times New Roman" w:cs="Times New Roman"/>
          <w:sz w:val="28"/>
          <w:szCs w:val="28"/>
          <w:lang w:eastAsia="ru-RU"/>
        </w:rPr>
      </w:pPr>
    </w:p>
    <w:p w:rsidR="00DB066E"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РАЗЪЯСНЕНИЕ</w:t>
      </w:r>
    </w:p>
    <w:p w:rsidR="00DB066E" w:rsidRPr="00A713C4" w:rsidRDefault="00DB066E" w:rsidP="00DB066E">
      <w:pPr>
        <w:spacing w:after="0" w:line="240" w:lineRule="auto"/>
        <w:jc w:val="center"/>
        <w:outlineLvl w:val="0"/>
        <w:rPr>
          <w:rFonts w:ascii="Times New Roman" w:eastAsia="ヒラギノ角ゴ Pro W3" w:hAnsi="Times New Roman"/>
          <w:b/>
          <w:sz w:val="28"/>
          <w:szCs w:val="28"/>
        </w:rPr>
      </w:pP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Президиума Федеральной антимонопольной службы</w:t>
      </w: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«По определению размера убытков, причиненных в результате нарушения антимонопольного законодательства»</w:t>
      </w:r>
    </w:p>
    <w:p w:rsidR="00DB066E" w:rsidRDefault="00DB066E" w:rsidP="00DB066E">
      <w:pPr>
        <w:spacing w:after="0" w:line="240" w:lineRule="auto"/>
        <w:jc w:val="center"/>
        <w:rPr>
          <w:rFonts w:ascii="Times New Roman" w:hAnsi="Times New Roman"/>
          <w:sz w:val="28"/>
          <w:szCs w:val="28"/>
        </w:rPr>
      </w:pPr>
    </w:p>
    <w:p w:rsidR="00DB066E" w:rsidRPr="00DB066E" w:rsidRDefault="00DB066E" w:rsidP="00DB066E">
      <w:pPr>
        <w:spacing w:after="0" w:line="240" w:lineRule="auto"/>
        <w:jc w:val="center"/>
        <w:rPr>
          <w:rFonts w:ascii="Times New Roman" w:hAnsi="Times New Roman"/>
          <w:b/>
          <w:sz w:val="28"/>
          <w:szCs w:val="28"/>
        </w:rPr>
      </w:pPr>
      <w:r w:rsidRPr="00A713C4">
        <w:rPr>
          <w:rFonts w:ascii="Times New Roman" w:hAnsi="Times New Roman"/>
          <w:b/>
          <w:sz w:val="28"/>
          <w:szCs w:val="28"/>
        </w:rPr>
        <w:t>№ 11</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Разъяснения по определению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(далее – Разъяснения)</w:t>
      </w:r>
      <w:r>
        <w:rPr>
          <w:rFonts w:ascii="Times New Roman" w:hAnsi="Times New Roman"/>
          <w:sz w:val="28"/>
          <w:szCs w:val="28"/>
        </w:rPr>
        <w:t>,</w:t>
      </w:r>
      <w:r w:rsidRPr="004436FA">
        <w:rPr>
          <w:rFonts w:ascii="Times New Roman" w:hAnsi="Times New Roman"/>
          <w:b/>
          <w:sz w:val="28"/>
          <w:szCs w:val="28"/>
        </w:rPr>
        <w:t xml:space="preserve"> </w:t>
      </w:r>
      <w:r w:rsidRPr="004436FA">
        <w:rPr>
          <w:rFonts w:ascii="Times New Roman" w:hAnsi="Times New Roman"/>
          <w:sz w:val="28"/>
          <w:szCs w:val="28"/>
        </w:rPr>
        <w:t>даны для территориальных органов ФАС России в целях формирования позиции антимонопольного органа по вопросам, связанным с определением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в случае привлечения территориального органа к участию в деле, рассматриваемом в суде. </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Разъяснения могут также использоваться при рассмотрении дел о нарушении антимонопольного законодательства на предмет </w:t>
      </w:r>
      <w:r>
        <w:rPr>
          <w:rFonts w:ascii="Times New Roman" w:hAnsi="Times New Roman"/>
          <w:sz w:val="28"/>
          <w:szCs w:val="28"/>
          <w:lang w:eastAsia="en-GB"/>
        </w:rPr>
        <w:t xml:space="preserve">недопущения, ограничения, устранения конкуренции, </w:t>
      </w:r>
      <w:r>
        <w:rPr>
          <w:rFonts w:ascii="Times New Roman" w:hAnsi="Times New Roman"/>
          <w:sz w:val="28"/>
          <w:szCs w:val="28"/>
        </w:rPr>
        <w:t xml:space="preserve">установления </w:t>
      </w:r>
      <w:r>
        <w:rPr>
          <w:rFonts w:ascii="Times New Roman" w:hAnsi="Times New Roman"/>
          <w:sz w:val="28"/>
          <w:szCs w:val="28"/>
          <w:lang w:eastAsia="en-GB"/>
        </w:rPr>
        <w:t>ущемления интересов хозяйствующих субъектов в сфере предпринимательской деятельности либо неопределенного круга потребителей</w:t>
      </w:r>
      <w:r>
        <w:rPr>
          <w:rFonts w:ascii="Times New Roman" w:hAnsi="Times New Roman"/>
          <w:sz w:val="28"/>
          <w:szCs w:val="28"/>
        </w:rPr>
        <w:t xml:space="preserve"> при злоупотреблении доминирующим положением. </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Равным образом положения данных Разъяснений </w:t>
      </w:r>
      <w:r>
        <w:rPr>
          <w:rFonts w:ascii="Times New Roman" w:hAnsi="Times New Roman"/>
          <w:sz w:val="28"/>
          <w:szCs w:val="28"/>
        </w:rPr>
        <w:t xml:space="preserve">также </w:t>
      </w:r>
      <w:r w:rsidRPr="004436FA">
        <w:rPr>
          <w:rFonts w:ascii="Times New Roman" w:hAnsi="Times New Roman"/>
          <w:sz w:val="28"/>
          <w:szCs w:val="28"/>
        </w:rPr>
        <w:t>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w:t>
      </w:r>
      <w:r>
        <w:rPr>
          <w:rFonts w:ascii="Times New Roman" w:hAnsi="Times New Roman"/>
          <w:sz w:val="28"/>
          <w:szCs w:val="28"/>
        </w:rPr>
        <w:t>декса Российской Федерации об административных правонарушениях (далее - Ко</w:t>
      </w:r>
      <w:r w:rsidRPr="004436FA">
        <w:rPr>
          <w:rFonts w:ascii="Times New Roman" w:hAnsi="Times New Roman"/>
          <w:sz w:val="28"/>
          <w:szCs w:val="28"/>
        </w:rPr>
        <w:t>АП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н</w:t>
      </w:r>
      <w:r w:rsidRPr="004436FA">
        <w:rPr>
          <w:rFonts w:ascii="Times New Roman" w:hAnsi="Times New Roman"/>
          <w:sz w:val="28"/>
          <w:szCs w:val="28"/>
        </w:rPr>
        <w:t xml:space="preserve">астоящие Разъяснения </w:t>
      </w:r>
      <w:r>
        <w:rPr>
          <w:rFonts w:ascii="Times New Roman" w:hAnsi="Times New Roman"/>
          <w:sz w:val="28"/>
          <w:szCs w:val="28"/>
        </w:rPr>
        <w:t>могут</w:t>
      </w:r>
      <w:r w:rsidRPr="004436FA">
        <w:rPr>
          <w:rFonts w:ascii="Times New Roman" w:hAnsi="Times New Roman"/>
          <w:sz w:val="28"/>
          <w:szCs w:val="28"/>
        </w:rPr>
        <w:t xml:space="preserve">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частности, при подготовке данного документа были использованы методики оценки убытков, включенные в Practical guide «Quantifying harm in actions for damages based on breaches of article 101 or 102 of the treaty on the functioning of the EU»</w:t>
      </w:r>
      <w:r w:rsidRPr="004436FA">
        <w:footnoteReference w:id="18"/>
      </w:r>
      <w:r w:rsidRPr="004436FA">
        <w:rPr>
          <w:rFonts w:ascii="Times New Roman" w:hAnsi="Times New Roman"/>
          <w:sz w:val="28"/>
          <w:szCs w:val="28"/>
        </w:rPr>
        <w:t xml:space="preserve"> и нашедшие широкое практическое применение в судах стран-членов ЕС.</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w:t>
      </w:r>
      <w:r>
        <w:rPr>
          <w:rFonts w:ascii="Times New Roman" w:hAnsi="Times New Roman"/>
          <w:sz w:val="28"/>
          <w:szCs w:val="28"/>
        </w:rPr>
        <w:t>бытков</w:t>
      </w:r>
      <w:r w:rsidRPr="004436FA">
        <w:rPr>
          <w:rFonts w:ascii="Times New Roman" w:hAnsi="Times New Roman"/>
          <w:sz w:val="28"/>
          <w:szCs w:val="28"/>
        </w:rPr>
        <w:t>, причиняем</w:t>
      </w:r>
      <w:r>
        <w:rPr>
          <w:rFonts w:ascii="Times New Roman" w:hAnsi="Times New Roman"/>
          <w:sz w:val="28"/>
          <w:szCs w:val="28"/>
        </w:rPr>
        <w:t>ых</w:t>
      </w:r>
      <w:r w:rsidRPr="004436FA">
        <w:rPr>
          <w:rFonts w:ascii="Times New Roman" w:hAnsi="Times New Roman"/>
          <w:sz w:val="28"/>
          <w:szCs w:val="28"/>
        </w:rPr>
        <w:t xml:space="preserve"> нарушениями антимонопольного законодательства, и применимых методах оценки, расчета так</w:t>
      </w:r>
      <w:r>
        <w:rPr>
          <w:rFonts w:ascii="Times New Roman" w:hAnsi="Times New Roman"/>
          <w:sz w:val="28"/>
          <w:szCs w:val="28"/>
        </w:rPr>
        <w:t>их</w:t>
      </w:r>
      <w:r w:rsidRPr="004436FA">
        <w:rPr>
          <w:rFonts w:ascii="Times New Roman" w:hAnsi="Times New Roman"/>
          <w:sz w:val="28"/>
          <w:szCs w:val="28"/>
        </w:rPr>
        <w:t xml:space="preserve"> у</w:t>
      </w:r>
      <w:r>
        <w:rPr>
          <w:rFonts w:ascii="Times New Roman" w:hAnsi="Times New Roman"/>
          <w:sz w:val="28"/>
          <w:szCs w:val="28"/>
        </w:rPr>
        <w:t>бытков</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w:t>
      </w:r>
      <w:r>
        <w:rPr>
          <w:rFonts w:ascii="Times New Roman" w:hAnsi="Times New Roman"/>
          <w:sz w:val="28"/>
          <w:szCs w:val="28"/>
        </w:rPr>
        <w:t>стников соответствующих споров.</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Default="00DB066E" w:rsidP="00DB066E">
      <w:pPr>
        <w:pStyle w:val="1"/>
        <w:numPr>
          <w:ilvl w:val="0"/>
          <w:numId w:val="47"/>
        </w:numPr>
        <w:spacing w:before="0" w:line="240" w:lineRule="auto"/>
        <w:ind w:left="0"/>
        <w:jc w:val="center"/>
        <w:rPr>
          <w:rFonts w:ascii="Times New Roman" w:hAnsi="Times New Roman"/>
          <w:color w:val="auto"/>
        </w:rPr>
      </w:pPr>
      <w:bookmarkStart w:id="11" w:name="_Toc487536216"/>
      <w:bookmarkStart w:id="12" w:name="_Toc487536218"/>
      <w:r w:rsidRPr="004436FA">
        <w:rPr>
          <w:rFonts w:ascii="Times New Roman" w:hAnsi="Times New Roman"/>
          <w:color w:val="auto"/>
        </w:rPr>
        <w:t>Общие положения.</w:t>
      </w:r>
      <w:bookmarkEnd w:id="11"/>
    </w:p>
    <w:p w:rsidR="00DB066E" w:rsidRPr="005579E6" w:rsidRDefault="00DB066E" w:rsidP="00DB066E">
      <w:pPr>
        <w:spacing w:after="0" w:line="240" w:lineRule="auto"/>
      </w:pP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r w:rsidRPr="001A2731">
        <w:rPr>
          <w:rFonts w:ascii="Times New Roman" w:hAnsi="Times New Roman"/>
          <w:b/>
          <w:sz w:val="28"/>
          <w:szCs w:val="28"/>
        </w:rPr>
        <w:t>1</w:t>
      </w:r>
      <w:r>
        <w:rPr>
          <w:rFonts w:ascii="Times New Roman" w:hAnsi="Times New Roman"/>
          <w:b/>
          <w:sz w:val="28"/>
          <w:szCs w:val="28"/>
        </w:rPr>
        <w:t>.1. </w:t>
      </w:r>
      <w:r w:rsidRPr="004436FA">
        <w:rPr>
          <w:rFonts w:ascii="Times New Roman" w:hAnsi="Times New Roman"/>
          <w:b/>
          <w:sz w:val="28"/>
          <w:szCs w:val="28"/>
        </w:rPr>
        <w:t>Возмещение убытков как способ защиты прав и законных интересов лица, пострадавшего от нарушения антимонопольного законодательства.</w:t>
      </w:r>
      <w:bookmarkEnd w:id="12"/>
    </w:p>
    <w:p w:rsidR="00DB066E" w:rsidRPr="004436FA"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Нарушение антимонопольного законодательства одними лицами может повлечь негативные последствия для других лиц.</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Защита прав лиц, пострадавших вследствие нарушения антимонопольного законодательства</w:t>
      </w:r>
      <w:r>
        <w:rPr>
          <w:rFonts w:ascii="Times New Roman" w:hAnsi="Times New Roman"/>
          <w:sz w:val="28"/>
          <w:szCs w:val="28"/>
        </w:rPr>
        <w:t>,</w:t>
      </w:r>
      <w:r w:rsidRPr="004436FA">
        <w:rPr>
          <w:rFonts w:ascii="Times New Roman" w:hAnsi="Times New Roman"/>
          <w:sz w:val="28"/>
          <w:szCs w:val="28"/>
        </w:rPr>
        <w:t xml:space="preserve">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w:t>
      </w:r>
      <w:r>
        <w:rPr>
          <w:rFonts w:ascii="Times New Roman" w:hAnsi="Times New Roman"/>
          <w:sz w:val="28"/>
          <w:szCs w:val="28"/>
        </w:rPr>
        <w:t xml:space="preserve">Гражданского кодекса Российской Федерации (далее - </w:t>
      </w:r>
      <w:r w:rsidRPr="004436FA">
        <w:rPr>
          <w:rFonts w:ascii="Times New Roman" w:hAnsi="Times New Roman"/>
          <w:sz w:val="28"/>
          <w:szCs w:val="28"/>
        </w:rPr>
        <w:t>ГК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4436FA">
        <w:rPr>
          <w:rFonts w:ascii="Times New Roman" w:hAnsi="Times New Roman"/>
          <w:sz w:val="28"/>
          <w:szCs w:val="28"/>
        </w:rPr>
        <w:t>ражданское законодательство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в большинстве случае</w:t>
      </w:r>
      <w:r>
        <w:rPr>
          <w:rFonts w:ascii="Times New Roman" w:hAnsi="Times New Roman"/>
          <w:sz w:val="28"/>
          <w:szCs w:val="28"/>
        </w:rPr>
        <w:t>в</w:t>
      </w:r>
      <w:r w:rsidRPr="004436FA">
        <w:rPr>
          <w:rFonts w:ascii="Times New Roman" w:hAnsi="Times New Roman"/>
          <w:sz w:val="28"/>
          <w:szCs w:val="28"/>
        </w:rPr>
        <w:t xml:space="preserve"> позволяет найти эффективное средство защиты.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Иск о возмещении убытков, причиненных совершением антиконкурентного дейс</w:t>
      </w:r>
      <w:r>
        <w:rPr>
          <w:rFonts w:ascii="Times New Roman" w:hAnsi="Times New Roman"/>
          <w:sz w:val="28"/>
          <w:szCs w:val="28"/>
        </w:rPr>
        <w:t xml:space="preserve">твия (бездействия), заключением </w:t>
      </w:r>
      <w:r w:rsidRPr="004436FA">
        <w:rPr>
          <w:rFonts w:ascii="Times New Roman" w:hAnsi="Times New Roman"/>
          <w:sz w:val="28"/>
          <w:szCs w:val="28"/>
        </w:rPr>
        <w:t xml:space="preserve">нарушающего законодательство </w:t>
      </w:r>
      <w:r>
        <w:rPr>
          <w:rFonts w:ascii="Times New Roman" w:hAnsi="Times New Roman"/>
          <w:sz w:val="28"/>
          <w:szCs w:val="28"/>
        </w:rPr>
        <w:t xml:space="preserve">о защите конкуренции </w:t>
      </w:r>
      <w:r w:rsidRPr="004436FA">
        <w:rPr>
          <w:rFonts w:ascii="Times New Roman" w:hAnsi="Times New Roman"/>
          <w:sz w:val="28"/>
          <w:szCs w:val="28"/>
        </w:rPr>
        <w:t>соглашения</w:t>
      </w:r>
      <w:r>
        <w:rPr>
          <w:rFonts w:ascii="Times New Roman" w:hAnsi="Times New Roman"/>
          <w:sz w:val="28"/>
          <w:szCs w:val="28"/>
        </w:rPr>
        <w:t xml:space="preserve"> </w:t>
      </w:r>
      <w:r w:rsidRPr="004436FA">
        <w:rPr>
          <w:rFonts w:ascii="Times New Roman" w:hAnsi="Times New Roman"/>
          <w:sz w:val="28"/>
          <w:szCs w:val="28"/>
        </w:rPr>
        <w:t>или участием в нем, принятием антиконкурентного акта органа власти</w:t>
      </w:r>
      <w:r>
        <w:rPr>
          <w:rFonts w:ascii="Times New Roman" w:hAnsi="Times New Roman"/>
          <w:sz w:val="28"/>
          <w:szCs w:val="28"/>
        </w:rPr>
        <w:t>,</w:t>
      </w:r>
      <w:r w:rsidRPr="004436FA">
        <w:rPr>
          <w:rFonts w:ascii="Times New Roman" w:hAnsi="Times New Roman"/>
          <w:sz w:val="28"/>
          <w:szCs w:val="28"/>
        </w:rPr>
        <w:t xml:space="preserve"> может предъявить любое лицо, которое полагает, что ему в результате соответствующих действий (бездействия), соглашений, актов были причинены убытки.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(часть 3 стат</w:t>
      </w:r>
      <w:r>
        <w:rPr>
          <w:rFonts w:ascii="Times New Roman" w:hAnsi="Times New Roman"/>
          <w:sz w:val="28"/>
          <w:szCs w:val="28"/>
        </w:rPr>
        <w:t>ьи 37 Федерального закона от 26.07.2006</w:t>
      </w:r>
      <w:r w:rsidRPr="004436FA">
        <w:rPr>
          <w:rFonts w:ascii="Times New Roman" w:hAnsi="Times New Roman"/>
          <w:sz w:val="28"/>
          <w:szCs w:val="28"/>
        </w:rPr>
        <w:t xml:space="preserve"> №</w:t>
      </w:r>
      <w:r>
        <w:rPr>
          <w:rFonts w:ascii="Times New Roman" w:hAnsi="Times New Roman"/>
          <w:sz w:val="28"/>
          <w:szCs w:val="28"/>
        </w:rPr>
        <w:t xml:space="preserve"> 135-ФЗ «О защите конкуренции» (далее – </w:t>
      </w:r>
      <w:r w:rsidRPr="004436FA">
        <w:rPr>
          <w:rFonts w:ascii="Times New Roman" w:hAnsi="Times New Roman"/>
          <w:sz w:val="28"/>
          <w:szCs w:val="28"/>
        </w:rPr>
        <w:t xml:space="preserve">Закон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B064CF" w:rsidRDefault="00DB066E" w:rsidP="00DB066E">
      <w:pPr>
        <w:pStyle w:val="ae"/>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1.2. </w:t>
      </w:r>
      <w:r w:rsidRPr="00B064CF">
        <w:rPr>
          <w:rFonts w:ascii="Times New Roman" w:hAnsi="Times New Roman"/>
          <w:b/>
          <w:sz w:val="28"/>
          <w:szCs w:val="28"/>
        </w:rPr>
        <w:t>Предмет доказывания по искам о взыскании убытков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соответствии с пунктом 12 </w:t>
      </w:r>
      <w:r>
        <w:rPr>
          <w:rFonts w:ascii="Times New Roman" w:hAnsi="Times New Roman"/>
          <w:sz w:val="28"/>
          <w:szCs w:val="28"/>
        </w:rPr>
        <w:t>п</w:t>
      </w:r>
      <w:r w:rsidRPr="004436FA">
        <w:rPr>
          <w:rFonts w:ascii="Times New Roman" w:hAnsi="Times New Roman"/>
          <w:sz w:val="28"/>
          <w:szCs w:val="28"/>
        </w:rPr>
        <w:t xml:space="preserve">остановления Пленума Верховного Суда </w:t>
      </w:r>
      <w:r>
        <w:rPr>
          <w:rFonts w:ascii="Times New Roman" w:hAnsi="Times New Roman"/>
          <w:sz w:val="28"/>
          <w:szCs w:val="28"/>
        </w:rPr>
        <w:t xml:space="preserve">Российской Федерации (далее – ВС </w:t>
      </w:r>
      <w:r w:rsidRPr="004436FA">
        <w:rPr>
          <w:rFonts w:ascii="Times New Roman" w:hAnsi="Times New Roman"/>
          <w:sz w:val="28"/>
          <w:szCs w:val="28"/>
        </w:rPr>
        <w:t>РФ</w:t>
      </w:r>
      <w:r>
        <w:rPr>
          <w:rFonts w:ascii="Times New Roman" w:hAnsi="Times New Roman"/>
          <w:sz w:val="28"/>
          <w:szCs w:val="28"/>
        </w:rPr>
        <w:t>) от 23.06.</w:t>
      </w:r>
      <w:r w:rsidRPr="004436FA">
        <w:rPr>
          <w:rFonts w:ascii="Times New Roman" w:hAnsi="Times New Roman"/>
          <w:sz w:val="28"/>
          <w:szCs w:val="28"/>
        </w:rPr>
        <w:t>2015 № 25 «О применении судами некоторых положений раздела I части первой Гражданского кодекса Российской Федера</w:t>
      </w:r>
      <w:r>
        <w:rPr>
          <w:rFonts w:ascii="Times New Roman" w:hAnsi="Times New Roman"/>
          <w:sz w:val="28"/>
          <w:szCs w:val="28"/>
        </w:rPr>
        <w:t>ции» (далее – п</w:t>
      </w:r>
      <w:r w:rsidRPr="004436FA">
        <w:rPr>
          <w:rFonts w:ascii="Times New Roman" w:hAnsi="Times New Roman"/>
          <w:sz w:val="28"/>
          <w:szCs w:val="28"/>
        </w:rPr>
        <w:t xml:space="preserve">остановление Пленума Верховного </w:t>
      </w:r>
      <w:r>
        <w:rPr>
          <w:rFonts w:ascii="Times New Roman" w:hAnsi="Times New Roman"/>
          <w:sz w:val="28"/>
          <w:szCs w:val="28"/>
        </w:rPr>
        <w:t>Суда РФ от 23.06.2015 № 25</w:t>
      </w:r>
      <w:r w:rsidRPr="004436FA">
        <w:rPr>
          <w:rFonts w:ascii="Times New Roman" w:hAnsi="Times New Roman"/>
          <w:sz w:val="28"/>
          <w:szCs w:val="28"/>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42" w:history="1">
        <w:r w:rsidRPr="004436FA">
          <w:rPr>
            <w:rFonts w:ascii="Times New Roman" w:hAnsi="Times New Roman"/>
            <w:sz w:val="28"/>
            <w:szCs w:val="28"/>
          </w:rPr>
          <w:t>пункт 2 статьи 15</w:t>
        </w:r>
      </w:hyperlink>
      <w:r w:rsidRPr="004436FA">
        <w:rPr>
          <w:rFonts w:ascii="Times New Roman" w:hAnsi="Times New Roman"/>
          <w:sz w:val="28"/>
          <w:szCs w:val="28"/>
        </w:rPr>
        <w:t xml:space="preserve"> ГК РФ).</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Отсутствие вины доказывается лицом, нарушившим обязательство (</w:t>
      </w:r>
      <w:hyperlink r:id="rId43" w:history="1">
        <w:r w:rsidRPr="004436FA">
          <w:rPr>
            <w:rFonts w:ascii="Times New Roman" w:hAnsi="Times New Roman"/>
            <w:sz w:val="28"/>
            <w:szCs w:val="28"/>
          </w:rPr>
          <w:t>пункт 2 статьи 401</w:t>
        </w:r>
      </w:hyperlink>
      <w:r w:rsidRPr="004436FA">
        <w:rPr>
          <w:rFonts w:ascii="Times New Roman" w:hAnsi="Times New Roman"/>
          <w:sz w:val="28"/>
          <w:szCs w:val="28"/>
        </w:rPr>
        <w:t xml:space="preserve"> ГК РФ). По общему правилу</w:t>
      </w:r>
      <w:r>
        <w:rPr>
          <w:rFonts w:ascii="Times New Roman" w:hAnsi="Times New Roman"/>
          <w:sz w:val="28"/>
          <w:szCs w:val="28"/>
        </w:rPr>
        <w:t>,</w:t>
      </w:r>
      <w:r w:rsidRPr="004436FA">
        <w:rPr>
          <w:rFonts w:ascii="Times New Roman" w:hAnsi="Times New Roman"/>
          <w:sz w:val="28"/>
          <w:szCs w:val="28"/>
        </w:rPr>
        <w:t xml:space="preserve"> лицо, причинившее вред, освобождается от возмещения вреда, если докажет, что вред причинен не по его вине (</w:t>
      </w:r>
      <w:hyperlink r:id="rId44" w:history="1">
        <w:r w:rsidRPr="004436FA">
          <w:rPr>
            <w:rFonts w:ascii="Times New Roman" w:hAnsi="Times New Roman"/>
            <w:sz w:val="28"/>
            <w:szCs w:val="28"/>
          </w:rPr>
          <w:t>пункт 2 статьи 1064</w:t>
        </w:r>
      </w:hyperlink>
      <w:r w:rsidRPr="004436FA">
        <w:rPr>
          <w:rFonts w:ascii="Times New Roman" w:hAnsi="Times New Roman"/>
          <w:sz w:val="28"/>
          <w:szCs w:val="28"/>
        </w:rPr>
        <w:t xml:space="preserve">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Таким образом, вина в нарушении обязательства или в причинении вреда предполагается, пока не доказано обратное.</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учетом изложенных</w:t>
      </w:r>
      <w:r w:rsidRPr="004436FA">
        <w:rPr>
          <w:rFonts w:ascii="Times New Roman" w:hAnsi="Times New Roman"/>
          <w:sz w:val="28"/>
          <w:szCs w:val="28"/>
        </w:rPr>
        <w:t xml:space="preserve">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совершение конкретным лицом (лицами) противоречащего антимонопольному законодательству действия или бездействия, соглашения, акта;</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наличие у истца убытков и их размер;</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причинно-следственная связь между нарушением права истца (противоправным поведением) и его убытками.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Арбитражного суда Уральского округа от 23</w:t>
      </w:r>
      <w:r>
        <w:rPr>
          <w:rFonts w:ascii="Times New Roman" w:hAnsi="Times New Roman"/>
          <w:sz w:val="28"/>
          <w:szCs w:val="28"/>
        </w:rPr>
        <w:t>.10.</w:t>
      </w:r>
      <w:r w:rsidRPr="004436FA">
        <w:rPr>
          <w:rFonts w:ascii="Times New Roman" w:hAnsi="Times New Roman"/>
          <w:sz w:val="28"/>
          <w:szCs w:val="28"/>
        </w:rPr>
        <w:t>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причинителя вреда; наличие причинно-следственной связи между наступлением вреда и противоправным поведением причинителя вреда. В данном конкретном деле эта совокупность обстоятельств не была, по мнению судов, доказана истцом.</w:t>
      </w:r>
    </w:p>
    <w:p w:rsidR="00DB066E" w:rsidRPr="00B064CF"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1.2.1. </w:t>
      </w:r>
      <w:r w:rsidRPr="00B064CF">
        <w:rPr>
          <w:rFonts w:ascii="Times New Roman" w:hAnsi="Times New Roman"/>
          <w:b/>
          <w:sz w:val="28"/>
          <w:szCs w:val="28"/>
        </w:rPr>
        <w:t xml:space="preserve">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что нарушитель совершил определенное антиконкурентное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DB066E" w:rsidRPr="00B064CF"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w:t>
      </w:r>
      <w:r>
        <w:rPr>
          <w:rFonts w:ascii="Times New Roman" w:hAnsi="Times New Roman"/>
          <w:sz w:val="28"/>
          <w:szCs w:val="28"/>
        </w:rPr>
        <w:t xml:space="preserve">Арбитражного процессуального кодекса Российской Федерации (далее - </w:t>
      </w:r>
      <w:r w:rsidRPr="004436FA">
        <w:rPr>
          <w:rFonts w:ascii="Times New Roman" w:hAnsi="Times New Roman"/>
          <w:sz w:val="28"/>
          <w:szCs w:val="28"/>
        </w:rPr>
        <w:t>АПК РФ</w:t>
      </w:r>
      <w:r>
        <w:rPr>
          <w:rFonts w:ascii="Times New Roman" w:hAnsi="Times New Roman"/>
          <w:sz w:val="28"/>
          <w:szCs w:val="28"/>
        </w:rPr>
        <w:t>)</w:t>
      </w:r>
      <w:r w:rsidRPr="004436FA">
        <w:rPr>
          <w:rFonts w:ascii="Times New Roman" w:hAnsi="Times New Roman"/>
          <w:sz w:val="28"/>
          <w:szCs w:val="28"/>
        </w:rPr>
        <w:t xml:space="preserve"> и считают факт нарушения антимонопольного законодательства преюдициально установленным обстоятельством, если в деле участвуют те же лица</w:t>
      </w:r>
      <w:r>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Pr>
          <w:rFonts w:ascii="Times New Roman" w:hAnsi="Times New Roman"/>
          <w:sz w:val="28"/>
          <w:szCs w:val="28"/>
        </w:rPr>
        <w:t xml:space="preserve"> Решение Арбитражного суда г. Москвы от 19.02.</w:t>
      </w:r>
      <w:r w:rsidRPr="004436FA">
        <w:rPr>
          <w:rFonts w:ascii="Times New Roman" w:hAnsi="Times New Roman"/>
          <w:sz w:val="28"/>
          <w:szCs w:val="28"/>
        </w:rPr>
        <w:t>2013, постановление Федерального арбитражн</w:t>
      </w:r>
      <w:r>
        <w:rPr>
          <w:rFonts w:ascii="Times New Roman" w:hAnsi="Times New Roman"/>
          <w:sz w:val="28"/>
          <w:szCs w:val="28"/>
        </w:rPr>
        <w:t>ого суда Московского округа от 04.09.2013</w:t>
      </w:r>
      <w:r w:rsidRPr="004436FA">
        <w:rPr>
          <w:rFonts w:ascii="Times New Roman" w:hAnsi="Times New Roman"/>
          <w:sz w:val="28"/>
          <w:szCs w:val="28"/>
        </w:rPr>
        <w:t xml:space="preserve"> по делу № А40-135137/2012 о взыскании убытков, причиненных нарушением пунктов 3,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незаконным требованием об уплате при заключении договора 10 000 000 руб. и неправомер</w:t>
      </w:r>
      <w:r>
        <w:rPr>
          <w:rFonts w:ascii="Times New Roman" w:hAnsi="Times New Roman"/>
          <w:sz w:val="28"/>
          <w:szCs w:val="28"/>
        </w:rPr>
        <w:t>ным прекращением теплоснабжения.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Руководствуясь данным обстоятельством и пунктом 2 статьи 69 АПК РФ, суды освободили истца от необходимости дополнительного доказывания н</w:t>
      </w:r>
      <w:r>
        <w:rPr>
          <w:rFonts w:ascii="Times New Roman" w:hAnsi="Times New Roman"/>
          <w:sz w:val="28"/>
          <w:szCs w:val="28"/>
        </w:rPr>
        <w:t>езаконности действий ответчика.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Арбитражного суда г</w:t>
      </w:r>
      <w:r>
        <w:rPr>
          <w:rFonts w:ascii="Times New Roman" w:hAnsi="Times New Roman"/>
          <w:sz w:val="28"/>
          <w:szCs w:val="28"/>
        </w:rPr>
        <w:t>. Москвы от 12.07.</w:t>
      </w:r>
      <w:r w:rsidRPr="004436FA">
        <w:rPr>
          <w:rFonts w:ascii="Times New Roman" w:hAnsi="Times New Roman"/>
          <w:sz w:val="28"/>
          <w:szCs w:val="28"/>
        </w:rPr>
        <w:t>2010 по делу № А40-46424/10-59-378 о взыскании убытков (1 141 085 606,15 руб.), причиненных нарушением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w:t>
      </w:r>
      <w:r>
        <w:rPr>
          <w:rFonts w:ascii="Times New Roman" w:hAnsi="Times New Roman"/>
          <w:sz w:val="28"/>
          <w:szCs w:val="28"/>
        </w:rPr>
        <w:t>е рекомендации ФАС России от 22.11.</w:t>
      </w:r>
      <w:r w:rsidRPr="004436FA">
        <w:rPr>
          <w:rFonts w:ascii="Times New Roman" w:hAnsi="Times New Roman"/>
          <w:sz w:val="28"/>
          <w:szCs w:val="28"/>
        </w:rPr>
        <w:t>2007</w:t>
      </w:r>
      <w:r>
        <w:rPr>
          <w:rFonts w:ascii="Times New Roman" w:hAnsi="Times New Roman"/>
          <w:sz w:val="28"/>
          <w:szCs w:val="28"/>
        </w:rPr>
        <w:t xml:space="preserve"> </w:t>
      </w:r>
      <w:r w:rsidRPr="004436FA">
        <w:rPr>
          <w:rFonts w:ascii="Times New Roman" w:hAnsi="Times New Roman"/>
          <w:sz w:val="28"/>
          <w:szCs w:val="28"/>
        </w:rPr>
        <w:t>№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и прав и законных интересов конкретных лиц лишь после длительного антимонопольного расследования.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25.07.2013,</w:t>
      </w:r>
      <w:r w:rsidRPr="004436FA">
        <w:rPr>
          <w:rFonts w:ascii="Times New Roman" w:hAnsi="Times New Roman"/>
          <w:sz w:val="28"/>
          <w:szCs w:val="28"/>
        </w:rPr>
        <w:t xml:space="preserve"> постановление Девятого арбитражного апелляционного суда от </w:t>
      </w:r>
      <w:r>
        <w:rPr>
          <w:rFonts w:ascii="Times New Roman" w:hAnsi="Times New Roman"/>
          <w:sz w:val="28"/>
          <w:szCs w:val="28"/>
        </w:rPr>
        <w:t xml:space="preserve">06.11.2013 </w:t>
      </w:r>
      <w:r w:rsidRPr="004436FA">
        <w:rPr>
          <w:rFonts w:ascii="Times New Roman" w:hAnsi="Times New Roman"/>
          <w:sz w:val="28"/>
          <w:szCs w:val="28"/>
        </w:rPr>
        <w:t>по делу № А40-33952/2013 о взыскании убытков, причиненных, согласно позиции истца, нарушением ответчиком при реализации товара пунктов 6, 8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Среди иностранных юрисдикций взыскание убытков на основании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подтвержденного решением антимонопольного органа, распространено, в частности, в европейских </w:t>
      </w:r>
      <w:r>
        <w:rPr>
          <w:rFonts w:ascii="Times New Roman" w:hAnsi="Times New Roman"/>
          <w:sz w:val="28"/>
          <w:szCs w:val="28"/>
        </w:rPr>
        <w:t>странах и именуется «follow-on»-</w:t>
      </w:r>
      <w:r w:rsidRPr="004436FA">
        <w:rPr>
          <w:rFonts w:ascii="Times New Roman" w:hAnsi="Times New Roman"/>
          <w:sz w:val="28"/>
          <w:szCs w:val="28"/>
        </w:rPr>
        <w:t>исками.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Вме</w:t>
      </w:r>
      <w:r>
        <w:rPr>
          <w:rFonts w:ascii="Times New Roman" w:hAnsi="Times New Roman"/>
          <w:sz w:val="28"/>
          <w:szCs w:val="28"/>
        </w:rPr>
        <w:t>сте с тем</w:t>
      </w:r>
      <w:r w:rsidRPr="004436FA">
        <w:rPr>
          <w:rFonts w:ascii="Times New Roman" w:hAnsi="Times New Roman"/>
          <w:sz w:val="28"/>
          <w:szCs w:val="28"/>
        </w:rPr>
        <w:t xml:space="preserve">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«stand-alone»-иски</w:t>
      </w:r>
      <w:r>
        <w:rPr>
          <w:rFonts w:ascii="Times New Roman" w:hAnsi="Times New Roman"/>
          <w:sz w:val="28"/>
          <w:szCs w:val="28"/>
        </w:rPr>
        <w:t>,</w:t>
      </w:r>
      <w:r w:rsidRPr="004436FA">
        <w:rPr>
          <w:rFonts w:ascii="Times New Roman" w:hAnsi="Times New Roman"/>
          <w:sz w:val="28"/>
          <w:szCs w:val="28"/>
        </w:rPr>
        <w:t xml:space="preserve"> согласно зарубежной правовой терминологии).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Федерального арбитражног</w:t>
      </w:r>
      <w:r>
        <w:rPr>
          <w:rFonts w:ascii="Times New Roman" w:hAnsi="Times New Roman"/>
          <w:sz w:val="28"/>
          <w:szCs w:val="28"/>
        </w:rPr>
        <w:t>о суда Московского округа от 20.12.</w:t>
      </w:r>
      <w:r w:rsidRPr="004436FA">
        <w:rPr>
          <w:rFonts w:ascii="Times New Roman" w:hAnsi="Times New Roman"/>
          <w:sz w:val="28"/>
          <w:szCs w:val="28"/>
        </w:rPr>
        <w:t>2</w:t>
      </w:r>
      <w:r>
        <w:rPr>
          <w:rFonts w:ascii="Times New Roman" w:hAnsi="Times New Roman"/>
          <w:sz w:val="28"/>
          <w:szCs w:val="28"/>
        </w:rPr>
        <w:t>011 по делу № А40-12966/2010.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B066E" w:rsidRDefault="00DB066E" w:rsidP="00DB066E">
      <w:pPr>
        <w:autoSpaceDE w:val="0"/>
        <w:autoSpaceDN w:val="0"/>
        <w:adjustRightInd w:val="0"/>
        <w:spacing w:after="0" w:line="240" w:lineRule="auto"/>
        <w:ind w:firstLine="709"/>
        <w:jc w:val="both"/>
        <w:rPr>
          <w:rStyle w:val="aff5"/>
          <w:rFonts w:ascii="Times New Roman" w:hAnsi="Times New Roman"/>
          <w:b w:val="0"/>
          <w:sz w:val="28"/>
          <w:szCs w:val="28"/>
        </w:rPr>
      </w:pPr>
      <w:r w:rsidRPr="004436FA">
        <w:rPr>
          <w:rFonts w:ascii="Times New Roman" w:hAnsi="Times New Roman"/>
          <w:sz w:val="28"/>
          <w:szCs w:val="28"/>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w:t>
      </w:r>
      <w:r>
        <w:rPr>
          <w:rFonts w:ascii="Times New Roman" w:hAnsi="Times New Roman"/>
          <w:sz w:val="28"/>
          <w:szCs w:val="28"/>
        </w:rPr>
        <w:t>к участника процесса (пункт 21 п</w:t>
      </w:r>
      <w:r w:rsidRPr="004436FA">
        <w:rPr>
          <w:rFonts w:ascii="Times New Roman" w:hAnsi="Times New Roman"/>
          <w:sz w:val="28"/>
          <w:szCs w:val="28"/>
        </w:rPr>
        <w:t xml:space="preserve">остановления </w:t>
      </w:r>
      <w:r w:rsidRPr="00325E46">
        <w:rPr>
          <w:rFonts w:ascii="Times New Roman" w:hAnsi="Times New Roman"/>
          <w:sz w:val="28"/>
          <w:szCs w:val="28"/>
        </w:rPr>
        <w:t xml:space="preserve">Пленума Высшего Арбитражного Суда Российской Федерации от 30.06.2008 № 30 «О </w:t>
      </w:r>
      <w:r w:rsidRPr="00325E46">
        <w:rPr>
          <w:rStyle w:val="aff5"/>
          <w:rFonts w:ascii="Times New Roman" w:hAnsi="Times New Roman"/>
          <w:sz w:val="28"/>
          <w:szCs w:val="28"/>
        </w:rPr>
        <w:t>некоторых вопросах, возникающих в связи с применением арбитражными судами антимонопольного законодательства»).</w:t>
      </w: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1.2.2</w:t>
      </w:r>
      <w:r w:rsidRPr="00325E46">
        <w:rPr>
          <w:rFonts w:ascii="Times New Roman" w:hAnsi="Times New Roman"/>
          <w:b/>
          <w:sz w:val="28"/>
          <w:szCs w:val="28"/>
        </w:rPr>
        <w:t xml:space="preserve"> Наличие убытков и их размер.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Статья 15 ГК РФ и часть 3 статьи 37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позволяют пострадавшему от нарушения антимонопольного законодательства лицу взыскать как реальный ущерб, так и упущенную выгоду.</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соответствии со статьей 15 ГК РФ</w:t>
      </w:r>
      <w:r>
        <w:rPr>
          <w:rFonts w:ascii="Times New Roman" w:hAnsi="Times New Roman"/>
          <w:sz w:val="28"/>
          <w:szCs w:val="28"/>
        </w:rPr>
        <w:t>,</w:t>
      </w:r>
      <w:r w:rsidRPr="004436FA">
        <w:rPr>
          <w:rFonts w:ascii="Times New Roman" w:hAnsi="Times New Roman"/>
          <w:sz w:val="28"/>
          <w:szCs w:val="28"/>
        </w:rPr>
        <w:t xml:space="preserve"> по общему правилу</w:t>
      </w:r>
      <w:r>
        <w:rPr>
          <w:rFonts w:ascii="Times New Roman" w:hAnsi="Times New Roman"/>
          <w:sz w:val="28"/>
          <w:szCs w:val="28"/>
        </w:rPr>
        <w:t>,</w:t>
      </w:r>
      <w:r w:rsidRPr="004436FA">
        <w:rPr>
          <w:rFonts w:ascii="Times New Roman" w:hAnsi="Times New Roman"/>
          <w:sz w:val="28"/>
          <w:szCs w:val="28"/>
        </w:rPr>
        <w:t xml:space="preserve">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отмечается в пункте 13 </w:t>
      </w:r>
      <w:r>
        <w:rPr>
          <w:rFonts w:ascii="Times New Roman" w:hAnsi="Times New Roman"/>
          <w:sz w:val="28"/>
          <w:szCs w:val="28"/>
        </w:rPr>
        <w:t>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Российской Федерации от 23.06.</w:t>
      </w:r>
      <w:r w:rsidRPr="004436FA">
        <w:rPr>
          <w:rFonts w:ascii="Times New Roman" w:hAnsi="Times New Roman"/>
          <w:sz w:val="28"/>
          <w:szCs w:val="28"/>
        </w:rPr>
        <w:t>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12.07.</w:t>
      </w:r>
      <w:r w:rsidRPr="004436FA">
        <w:rPr>
          <w:rFonts w:ascii="Times New Roman" w:hAnsi="Times New Roman"/>
          <w:sz w:val="28"/>
          <w:szCs w:val="28"/>
        </w:rPr>
        <w:t>2010 по делу № А40-46424/10-59-378 о взыскании реального ущерба, причиненного нарушением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суд взыскал в пользу истца реальный ущерб в размере 1 141 085 606 руб. 15 коп. (разница между уплаченной истцом ценой товара, неправомерно установленной ответчиком, и ценой, определенной как обоснованная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w:t>
      </w:r>
      <w:r>
        <w:rPr>
          <w:rFonts w:ascii="Times New Roman" w:hAnsi="Times New Roman"/>
          <w:sz w:val="28"/>
          <w:szCs w:val="28"/>
        </w:rPr>
        <w:t>ажного суда города Москвы от 12.03.</w:t>
      </w:r>
      <w:r w:rsidRPr="004436FA">
        <w:rPr>
          <w:rFonts w:ascii="Times New Roman" w:hAnsi="Times New Roman"/>
          <w:sz w:val="28"/>
          <w:szCs w:val="28"/>
        </w:rPr>
        <w:t>2013, постановление Федерального арбитражног</w:t>
      </w:r>
      <w:r>
        <w:rPr>
          <w:rFonts w:ascii="Times New Roman" w:hAnsi="Times New Roman"/>
          <w:sz w:val="28"/>
          <w:szCs w:val="28"/>
        </w:rPr>
        <w:t>о суда Московского округа от 30.09.</w:t>
      </w:r>
      <w:r w:rsidRPr="004436FA">
        <w:rPr>
          <w:rFonts w:ascii="Times New Roman" w:hAnsi="Times New Roman"/>
          <w:sz w:val="28"/>
          <w:szCs w:val="28"/>
        </w:rPr>
        <w:t xml:space="preserve">2013 по делу № А40-143297/2012 о взыскании убытков </w:t>
      </w:r>
      <w:r>
        <w:rPr>
          <w:rFonts w:ascii="Times New Roman" w:hAnsi="Times New Roman"/>
          <w:sz w:val="28"/>
          <w:szCs w:val="28"/>
        </w:rPr>
        <w:t xml:space="preserve">в связи с </w:t>
      </w:r>
      <w:r w:rsidRPr="004436FA">
        <w:rPr>
          <w:rFonts w:ascii="Times New Roman" w:hAnsi="Times New Roman"/>
          <w:sz w:val="28"/>
          <w:szCs w:val="28"/>
        </w:rPr>
        <w:t xml:space="preserve"> нарушени</w:t>
      </w:r>
      <w:r>
        <w:rPr>
          <w:rFonts w:ascii="Times New Roman" w:hAnsi="Times New Roman"/>
          <w:sz w:val="28"/>
          <w:szCs w:val="28"/>
        </w:rPr>
        <w:t>ем</w:t>
      </w:r>
      <w:r w:rsidRPr="004436FA">
        <w:rPr>
          <w:rFonts w:ascii="Times New Roman" w:hAnsi="Times New Roman"/>
          <w:sz w:val="28"/>
          <w:szCs w:val="28"/>
        </w:rPr>
        <w:t xml:space="preserve">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w:t>
      </w:r>
      <w:r>
        <w:rPr>
          <w:rFonts w:ascii="Times New Roman" w:hAnsi="Times New Roman"/>
          <w:sz w:val="28"/>
          <w:szCs w:val="28"/>
        </w:rPr>
        <w:t>,</w:t>
      </w:r>
      <w:r w:rsidRPr="004436FA">
        <w:rPr>
          <w:rFonts w:ascii="Times New Roman" w:hAnsi="Times New Roman"/>
          <w:sz w:val="28"/>
          <w:szCs w:val="28"/>
        </w:rPr>
        <w:t xml:space="preserve"> и ценой, которая могла быть установлена при отсутствии нарушения,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пункте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w:t>
      </w:r>
      <w:r w:rsidRPr="004436FA">
        <w:rPr>
          <w:rFonts w:ascii="Times New Roman" w:hAnsi="Times New Roman"/>
          <w:sz w:val="28"/>
          <w:szCs w:val="28"/>
        </w:rPr>
        <w:t>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силу пункта 2 статьи 15 ГК РФ если лицо, нарушившее право, получило вследствие этого доходы, лицо, право которого нарушено, вправе требовать возмещения</w:t>
      </w:r>
      <w:r>
        <w:rPr>
          <w:rFonts w:ascii="Times New Roman" w:hAnsi="Times New Roman"/>
          <w:sz w:val="28"/>
          <w:szCs w:val="28"/>
        </w:rPr>
        <w:t>,</w:t>
      </w:r>
      <w:r w:rsidRPr="004436FA">
        <w:rPr>
          <w:rFonts w:ascii="Times New Roman" w:hAnsi="Times New Roman"/>
          <w:sz w:val="28"/>
          <w:szCs w:val="28"/>
        </w:rPr>
        <w:t xml:space="preserve"> наряду с другими убытками</w:t>
      </w:r>
      <w:r>
        <w:rPr>
          <w:rFonts w:ascii="Times New Roman" w:hAnsi="Times New Roman"/>
          <w:sz w:val="28"/>
          <w:szCs w:val="28"/>
        </w:rPr>
        <w:t>,</w:t>
      </w:r>
      <w:r w:rsidRPr="004436FA">
        <w:rPr>
          <w:rFonts w:ascii="Times New Roman" w:hAnsi="Times New Roman"/>
          <w:sz w:val="28"/>
          <w:szCs w:val="28"/>
        </w:rPr>
        <w:t xml:space="preserve"> упущенной выгоды в размере не меньшем, чем такие доходы.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w:t>
      </w:r>
      <w:r>
        <w:rPr>
          <w:rFonts w:ascii="Times New Roman" w:hAnsi="Times New Roman"/>
          <w:sz w:val="28"/>
          <w:szCs w:val="28"/>
        </w:rPr>
        <w:t xml:space="preserve"> пункте 11 п</w:t>
      </w:r>
      <w:r w:rsidRPr="004436FA">
        <w:rPr>
          <w:rFonts w:ascii="Times New Roman" w:hAnsi="Times New Roman"/>
          <w:sz w:val="28"/>
          <w:szCs w:val="28"/>
        </w:rPr>
        <w:t xml:space="preserve">остановления Пленума Верховного Суда РФ и Пленума Высшего Арбитражного Суда РФ от </w:t>
      </w:r>
      <w:r>
        <w:rPr>
          <w:rFonts w:ascii="Times New Roman" w:hAnsi="Times New Roman"/>
          <w:sz w:val="28"/>
          <w:szCs w:val="28"/>
        </w:rPr>
        <w:t>01.07.</w:t>
      </w:r>
      <w:r w:rsidRPr="004436FA">
        <w:rPr>
          <w:rFonts w:ascii="Times New Roman" w:hAnsi="Times New Roman"/>
          <w:sz w:val="28"/>
          <w:szCs w:val="28"/>
        </w:rPr>
        <w:t>1996 № 6/8 «О некоторых вопросах, связанных с применением части первой Гражданского кодекса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(в настоящее время суды руководствуются аналогичными разъяснениями, сод</w:t>
      </w:r>
      <w:r>
        <w:rPr>
          <w:rFonts w:ascii="Times New Roman" w:hAnsi="Times New Roman"/>
          <w:sz w:val="28"/>
          <w:szCs w:val="28"/>
        </w:rPr>
        <w:t>ержащимися в абзаце 2 пункта 2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24.03.</w:t>
      </w:r>
      <w:r w:rsidRPr="004436FA">
        <w:rPr>
          <w:rFonts w:ascii="Times New Roman" w:hAnsi="Times New Roman"/>
          <w:sz w:val="28"/>
          <w:szCs w:val="28"/>
        </w:rPr>
        <w:t>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Иной подход означал бы «сверхкомпенсацию» имущественных потерь истца, его необоснованное обогащение и взыскание с ответчика излишних сумм.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Несмотря на то, что </w:t>
      </w:r>
      <w:r>
        <w:rPr>
          <w:rFonts w:ascii="Times New Roman" w:hAnsi="Times New Roman"/>
          <w:sz w:val="28"/>
          <w:szCs w:val="28"/>
        </w:rPr>
        <w:t>убытки в</w:t>
      </w:r>
      <w:r w:rsidRPr="004436FA">
        <w:rPr>
          <w:rFonts w:ascii="Times New Roman" w:hAnsi="Times New Roman"/>
          <w:sz w:val="28"/>
          <w:szCs w:val="28"/>
        </w:rPr>
        <w:t xml:space="preserve">виду упущенной выгоды являются распространенным последствием нарушений антимонопольного законодательства, данный вид </w:t>
      </w:r>
      <w:r>
        <w:rPr>
          <w:rFonts w:ascii="Times New Roman" w:hAnsi="Times New Roman"/>
          <w:sz w:val="28"/>
          <w:szCs w:val="28"/>
        </w:rPr>
        <w:t>убытков</w:t>
      </w:r>
      <w:r w:rsidRPr="004436FA">
        <w:rPr>
          <w:rFonts w:ascii="Times New Roman" w:hAnsi="Times New Roman"/>
          <w:sz w:val="28"/>
          <w:szCs w:val="28"/>
        </w:rPr>
        <w:t xml:space="preserve"> является наиболее сложным в доказывании. Отказы в удовлетворении требований о взыскании упущенной выгоды достаточно распространены.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то же время имеется и положительная практика по таким искам.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Постановление Федерального арбитражного суда Московского округа от </w:t>
      </w:r>
      <w:r>
        <w:rPr>
          <w:rFonts w:ascii="Times New Roman" w:hAnsi="Times New Roman"/>
          <w:sz w:val="28"/>
          <w:szCs w:val="28"/>
        </w:rPr>
        <w:t>07.09.2012</w:t>
      </w:r>
      <w:r w:rsidRPr="004436FA">
        <w:rPr>
          <w:rFonts w:ascii="Times New Roman" w:hAnsi="Times New Roman"/>
          <w:sz w:val="28"/>
          <w:szCs w:val="28"/>
        </w:rPr>
        <w:t xml:space="preserve"> по делу №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w:t>
      </w:r>
      <w:r>
        <w:rPr>
          <w:rFonts w:ascii="Times New Roman" w:hAnsi="Times New Roman"/>
          <w:sz w:val="28"/>
          <w:szCs w:val="28"/>
        </w:rPr>
        <w:t>дтверждено решением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экспертизы </w:t>
      </w:r>
      <w:r>
        <w:rPr>
          <w:rFonts w:ascii="Times New Roman" w:hAnsi="Times New Roman"/>
          <w:sz w:val="28"/>
          <w:szCs w:val="28"/>
        </w:rPr>
        <w:t>(определение</w:t>
      </w:r>
      <w:r w:rsidRPr="004436FA">
        <w:rPr>
          <w:rFonts w:ascii="Times New Roman" w:hAnsi="Times New Roman"/>
          <w:sz w:val="28"/>
          <w:szCs w:val="28"/>
        </w:rPr>
        <w:t xml:space="preserve"> Арбитражного суда г</w:t>
      </w:r>
      <w:r>
        <w:rPr>
          <w:rFonts w:ascii="Times New Roman" w:hAnsi="Times New Roman"/>
          <w:sz w:val="28"/>
          <w:szCs w:val="28"/>
        </w:rPr>
        <w:t>.</w:t>
      </w:r>
      <w:r w:rsidRPr="004436FA">
        <w:rPr>
          <w:rFonts w:ascii="Times New Roman" w:hAnsi="Times New Roman"/>
          <w:sz w:val="28"/>
          <w:szCs w:val="28"/>
        </w:rPr>
        <w:t xml:space="preserve"> Москвы по указанному делу от </w:t>
      </w:r>
      <w:r>
        <w:rPr>
          <w:rFonts w:ascii="Times New Roman" w:hAnsi="Times New Roman"/>
          <w:sz w:val="28"/>
          <w:szCs w:val="28"/>
        </w:rPr>
        <w:t>01.07.</w:t>
      </w:r>
      <w:r w:rsidRPr="004436FA">
        <w:rPr>
          <w:rFonts w:ascii="Times New Roman" w:hAnsi="Times New Roman"/>
          <w:sz w:val="28"/>
          <w:szCs w:val="28"/>
        </w:rPr>
        <w:t>2011):</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г. № 21-06-0116-00?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б) Была ли возможность у Истца произвести цемент марки ЦЕМ 11/A-Ш 32.5 Б в августе 2008 года?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Если у Истца была возможность для производства цемента марки ЦЕМ 11/A-Ш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г) Является ли отсутствие поставки Ответчиком 62 140 т белитового шлама в августе 2008 г. по договору №21-06-0116-00 от 01.04.2006 г. единственным фактором, не позволившим осуществить производство цемента марки ЦЕМ 11/А-Ш 32.5 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 Имел ли Истец возможность и обязательства по реализации цемента марки ЦЕМ 11/А-Ш 32.5 Б в августе 2008 г. и в каком объеме?»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Экспертиза подтвердила следующее:</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Если бы в августе 2008 г. была осуществлена поставка 62 140 тонн белитового шлама, истец получил бы дополнительный доход в размере 146 181 000 руб.</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Для производства цемента у истца имелись все необходимые ресурсы, за исключением белитового шлама.</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Истец имел гарантированные обязательства по реализации цемента в августе 2008 г.</w:t>
      </w:r>
    </w:p>
    <w:p w:rsidR="00DB066E" w:rsidRPr="004436FA" w:rsidRDefault="00DB066E" w:rsidP="00DB066E">
      <w:pPr>
        <w:autoSpaceDE w:val="0"/>
        <w:autoSpaceDN w:val="0"/>
        <w:adjustRightInd w:val="0"/>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убытки были определены судом как разница между суммой, определенной экспертами (146 181 000 руб.)</w:t>
      </w:r>
      <w:r>
        <w:rPr>
          <w:rFonts w:ascii="Times New Roman" w:hAnsi="Times New Roman"/>
          <w:sz w:val="28"/>
          <w:szCs w:val="28"/>
        </w:rPr>
        <w:t>,</w:t>
      </w:r>
      <w:r w:rsidRPr="004436FA">
        <w:rPr>
          <w:rFonts w:ascii="Times New Roman" w:hAnsi="Times New Roman"/>
          <w:sz w:val="28"/>
          <w:szCs w:val="28"/>
        </w:rPr>
        <w:t xml:space="preserve"> и 35 000 000 руб. пени, взысканной с ответчика за ненадлежащее исполнение договора в рамках другого спора (дело № А40-82320/2008).</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результат, в пользу истца была взыскана сумма убытков в размере 111 181 000 руб.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И истец, и ответчик в этом споре посчитали экспертизу необходимой и совместно выбрали экспертную организацию.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 2.</w:t>
      </w:r>
      <w:r w:rsidRPr="004436FA">
        <w:rPr>
          <w:rFonts w:ascii="Times New Roman" w:hAnsi="Times New Roman"/>
          <w:sz w:val="28"/>
          <w:szCs w:val="28"/>
        </w:rPr>
        <w:t xml:space="preserve"> Постановление Верховного Суда РФ от </w:t>
      </w:r>
      <w:r>
        <w:rPr>
          <w:rFonts w:ascii="Times New Roman" w:hAnsi="Times New Roman"/>
          <w:sz w:val="28"/>
          <w:szCs w:val="28"/>
        </w:rPr>
        <w:t>07.12.</w:t>
      </w:r>
      <w:r w:rsidRPr="004436FA">
        <w:rPr>
          <w:rFonts w:ascii="Times New Roman" w:hAnsi="Times New Roman"/>
          <w:sz w:val="28"/>
          <w:szCs w:val="28"/>
        </w:rPr>
        <w:t>2015</w:t>
      </w:r>
      <w:r>
        <w:rPr>
          <w:rFonts w:ascii="Times New Roman" w:hAnsi="Times New Roman"/>
          <w:sz w:val="28"/>
          <w:szCs w:val="28"/>
        </w:rPr>
        <w:t xml:space="preserve"> по делу № А40-14800/2014.</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не позволил истцу принять участие в аукционе на поставку </w:t>
      </w:r>
      <w:r>
        <w:rPr>
          <w:rFonts w:ascii="Times New Roman" w:hAnsi="Times New Roman"/>
          <w:sz w:val="28"/>
          <w:szCs w:val="28"/>
        </w:rPr>
        <w:t xml:space="preserve">для государственных нужд </w:t>
      </w:r>
      <w:r w:rsidRPr="004436FA">
        <w:rPr>
          <w:rFonts w:ascii="Times New Roman" w:hAnsi="Times New Roman"/>
          <w:sz w:val="28"/>
          <w:szCs w:val="28"/>
        </w:rPr>
        <w:t>лекарственных препаратов, тем самым причинил истцу убытки (упущенную выгоду),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both"/>
        <w:rPr>
          <w:rFonts w:ascii="Times New Roman" w:hAnsi="Times New Roman"/>
          <w:b/>
          <w:sz w:val="28"/>
          <w:szCs w:val="28"/>
        </w:rPr>
      </w:pPr>
      <w:r>
        <w:rPr>
          <w:rFonts w:ascii="Times New Roman" w:hAnsi="Times New Roman"/>
          <w:b/>
          <w:sz w:val="28"/>
          <w:szCs w:val="28"/>
        </w:rPr>
        <w:t>1.2.3. </w:t>
      </w:r>
      <w:r w:rsidRPr="001A2731">
        <w:rPr>
          <w:rFonts w:ascii="Times New Roman" w:hAnsi="Times New Roman"/>
          <w:b/>
          <w:sz w:val="28"/>
          <w:szCs w:val="28"/>
        </w:rPr>
        <w:t>Прямая причинно-следственная связь между нарушением 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w:t>
      </w:r>
      <w:r>
        <w:rPr>
          <w:rFonts w:ascii="Times New Roman" w:hAnsi="Times New Roman"/>
          <w:sz w:val="28"/>
          <w:szCs w:val="28"/>
        </w:rPr>
        <w:t>рушением и возникшими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w:t>
      </w:r>
      <w:r w:rsidRPr="004436FA">
        <w:rPr>
          <w:rFonts w:ascii="Times New Roman" w:hAnsi="Times New Roman"/>
          <w:sz w:val="28"/>
          <w:szCs w:val="28"/>
        </w:rPr>
        <w:t xml:space="preserve">. Определение </w:t>
      </w:r>
      <w:r>
        <w:rPr>
          <w:rFonts w:ascii="Times New Roman" w:hAnsi="Times New Roman"/>
          <w:sz w:val="28"/>
          <w:szCs w:val="28"/>
        </w:rPr>
        <w:t>Высшего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от </w:t>
      </w:r>
      <w:r>
        <w:rPr>
          <w:rFonts w:ascii="Times New Roman" w:hAnsi="Times New Roman"/>
          <w:sz w:val="28"/>
          <w:szCs w:val="28"/>
        </w:rPr>
        <w:t>08.04.2013</w:t>
      </w:r>
      <w:r w:rsidRPr="004436FA">
        <w:rPr>
          <w:rFonts w:ascii="Times New Roman" w:hAnsi="Times New Roman"/>
          <w:sz w:val="28"/>
          <w:szCs w:val="28"/>
        </w:rPr>
        <w:t xml:space="preserve"> по делу № А81</w:t>
      </w:r>
      <w:r w:rsidRPr="004436FA">
        <w:rPr>
          <w:rFonts w:ascii="Times New Roman" w:hAnsi="Times New Roman"/>
          <w:sz w:val="28"/>
          <w:szCs w:val="28"/>
        </w:rPr>
        <w:noBreakHyphen/>
        <w:t xml:space="preserve">2843/2011 о взыскании убытков, причиненных нарушениями при проведении конкурса </w:t>
      </w:r>
      <w:r>
        <w:rPr>
          <w:rFonts w:ascii="Times New Roman" w:hAnsi="Times New Roman"/>
          <w:sz w:val="28"/>
          <w:szCs w:val="28"/>
        </w:rPr>
        <w:t>в целях государственного заказа.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w:t>
      </w:r>
      <w:r w:rsidRPr="004436FA">
        <w:rPr>
          <w:rFonts w:ascii="Times New Roman" w:hAnsi="Times New Roman"/>
          <w:bCs/>
          <w:sz w:val="28"/>
          <w:szCs w:val="28"/>
        </w:rPr>
        <w:t>Третьего арбитра</w:t>
      </w:r>
      <w:r>
        <w:rPr>
          <w:rFonts w:ascii="Times New Roman" w:hAnsi="Times New Roman"/>
          <w:bCs/>
          <w:sz w:val="28"/>
          <w:szCs w:val="28"/>
        </w:rPr>
        <w:t xml:space="preserve">жного апелляционного суда от 26.06.2014 </w:t>
      </w:r>
      <w:r w:rsidRPr="004436FA">
        <w:rPr>
          <w:rFonts w:ascii="Times New Roman" w:hAnsi="Times New Roman"/>
          <w:bCs/>
          <w:sz w:val="28"/>
          <w:szCs w:val="28"/>
        </w:rPr>
        <w:t xml:space="preserve">по делу № </w:t>
      </w:r>
      <w:r w:rsidRPr="004436FA">
        <w:rPr>
          <w:rFonts w:ascii="Times New Roman" w:hAnsi="Times New Roman"/>
          <w:sz w:val="28"/>
          <w:szCs w:val="28"/>
        </w:rPr>
        <w:t>А33-6497/2013 о взыскании убытков, причиненных нарушением органом государственной власти субъекта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пункта 2 части 1 статьи 15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r w:rsidRPr="004436FA">
        <w:rPr>
          <w:rFonts w:ascii="Times New Roman" w:hAnsi="Times New Roman"/>
          <w:bCs/>
          <w:sz w:val="28"/>
          <w:szCs w:val="28"/>
        </w:rPr>
        <w:t>необоснованное препятствование осуществлению деятельности хозяйствующими субъектами</w:t>
      </w:r>
      <w:r>
        <w:rPr>
          <w:rFonts w:ascii="Times New Roman" w:hAnsi="Times New Roman"/>
          <w:bCs/>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w:t>
      </w:r>
      <w:r w:rsidRPr="004436FA">
        <w:rPr>
          <w:rFonts w:ascii="Times New Roman" w:hAnsi="Times New Roman"/>
          <w:bCs/>
          <w:sz w:val="28"/>
          <w:szCs w:val="28"/>
        </w:rPr>
        <w:t>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Default="00DB066E" w:rsidP="00DB066E">
      <w:pPr>
        <w:spacing w:after="0" w:line="240" w:lineRule="auto"/>
        <w:ind w:firstLine="709"/>
        <w:jc w:val="both"/>
        <w:rPr>
          <w:rFonts w:ascii="Times New Roman" w:hAnsi="Times New Roman"/>
          <w:bCs/>
          <w:sz w:val="28"/>
          <w:szCs w:val="28"/>
        </w:rPr>
      </w:pPr>
      <w:r w:rsidRPr="004436FA">
        <w:rPr>
          <w:rFonts w:ascii="Times New Roman" w:hAnsi="Times New Roman"/>
          <w:bCs/>
          <w:sz w:val="28"/>
          <w:szCs w:val="28"/>
        </w:rP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B066E" w:rsidRPr="004436FA" w:rsidRDefault="00DB066E" w:rsidP="00DB066E">
      <w:pPr>
        <w:spacing w:after="0" w:line="240" w:lineRule="auto"/>
        <w:ind w:firstLine="709"/>
        <w:jc w:val="both"/>
        <w:rPr>
          <w:rFonts w:ascii="Times New Roman" w:hAnsi="Times New Roman"/>
          <w:bCs/>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Cs/>
          <w:sz w:val="28"/>
          <w:szCs w:val="28"/>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w:t>
      </w:r>
      <w:r>
        <w:rPr>
          <w:rFonts w:ascii="Times New Roman" w:hAnsi="Times New Roman"/>
          <w:bCs/>
          <w:sz w:val="28"/>
          <w:szCs w:val="28"/>
        </w:rPr>
        <w:t xml:space="preserve"> о защите конкуренции</w:t>
      </w:r>
      <w:r w:rsidRPr="004436FA">
        <w:rPr>
          <w:rFonts w:ascii="Times New Roman" w:hAnsi="Times New Roman"/>
          <w:bCs/>
          <w:sz w:val="28"/>
          <w:szCs w:val="28"/>
        </w:rPr>
        <w:t xml:space="preserve">  (п</w:t>
      </w:r>
      <w:r w:rsidRPr="004436FA">
        <w:rPr>
          <w:rFonts w:ascii="Times New Roman" w:hAnsi="Times New Roman"/>
          <w:sz w:val="28"/>
          <w:szCs w:val="28"/>
        </w:rPr>
        <w:t>остановления Арбитражног</w:t>
      </w:r>
      <w:r>
        <w:rPr>
          <w:rFonts w:ascii="Times New Roman" w:hAnsi="Times New Roman"/>
          <w:sz w:val="28"/>
          <w:szCs w:val="28"/>
        </w:rPr>
        <w:t>о суда Московского округа от 10.03.</w:t>
      </w:r>
      <w:r w:rsidRPr="004436FA">
        <w:rPr>
          <w:rFonts w:ascii="Times New Roman" w:hAnsi="Times New Roman"/>
          <w:sz w:val="28"/>
          <w:szCs w:val="28"/>
        </w:rPr>
        <w:t>2015 по делу № А40-32230/14, Арбитражного суд</w:t>
      </w:r>
      <w:r>
        <w:rPr>
          <w:rFonts w:ascii="Times New Roman" w:hAnsi="Times New Roman"/>
          <w:sz w:val="28"/>
          <w:szCs w:val="28"/>
        </w:rPr>
        <w:t>а Северо-Западного округа от 20.02.</w:t>
      </w:r>
      <w:r w:rsidRPr="004436FA">
        <w:rPr>
          <w:rFonts w:ascii="Times New Roman" w:hAnsi="Times New Roman"/>
          <w:sz w:val="28"/>
          <w:szCs w:val="28"/>
        </w:rPr>
        <w:t xml:space="preserve">2015 по делу № А56-66479/2013, Девятого арбитражного апелляционного суда от </w:t>
      </w:r>
      <w:r>
        <w:rPr>
          <w:rFonts w:ascii="Times New Roman" w:hAnsi="Times New Roman"/>
          <w:sz w:val="28"/>
          <w:szCs w:val="28"/>
        </w:rPr>
        <w:t>02.10.</w:t>
      </w:r>
      <w:r w:rsidRPr="004436FA">
        <w:rPr>
          <w:rFonts w:ascii="Times New Roman" w:hAnsi="Times New Roman"/>
          <w:sz w:val="28"/>
          <w:szCs w:val="28"/>
        </w:rPr>
        <w:t xml:space="preserve">2015 по делу № А40-3077/2015, Тринадцатого арбитражного апелляционного суда от </w:t>
      </w:r>
      <w:r>
        <w:rPr>
          <w:rFonts w:ascii="Times New Roman" w:hAnsi="Times New Roman"/>
          <w:sz w:val="28"/>
          <w:szCs w:val="28"/>
        </w:rPr>
        <w:t>09.10.</w:t>
      </w:r>
      <w:r w:rsidRPr="004436FA">
        <w:rPr>
          <w:rFonts w:ascii="Times New Roman" w:hAnsi="Times New Roman"/>
          <w:sz w:val="28"/>
          <w:szCs w:val="28"/>
        </w:rPr>
        <w:t>2015 по делу № А21-8279/2014 и др.).</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случае недоказанности прямой причинно-следственной связи между противоправным поведением ответчик</w:t>
      </w:r>
      <w:r>
        <w:rPr>
          <w:rFonts w:ascii="Times New Roman" w:hAnsi="Times New Roman"/>
          <w:sz w:val="28"/>
          <w:szCs w:val="28"/>
        </w:rPr>
        <w:t>а</w:t>
      </w:r>
      <w:r w:rsidRPr="004436FA">
        <w:rPr>
          <w:rFonts w:ascii="Times New Roman" w:hAnsi="Times New Roman"/>
          <w:sz w:val="28"/>
          <w:szCs w:val="28"/>
        </w:rPr>
        <w:t xml:space="preserve"> и убытками истца суды отказывают во взыскании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Постановление Семнадцатого арбитр</w:t>
      </w:r>
      <w:r>
        <w:rPr>
          <w:rFonts w:ascii="Times New Roman" w:hAnsi="Times New Roman"/>
          <w:sz w:val="28"/>
          <w:szCs w:val="28"/>
        </w:rPr>
        <w:t>ажного апелляционного суда от 07.11.2012</w:t>
      </w:r>
      <w:r w:rsidRPr="004436FA">
        <w:rPr>
          <w:rFonts w:ascii="Times New Roman" w:hAnsi="Times New Roman"/>
          <w:sz w:val="28"/>
          <w:szCs w:val="28"/>
        </w:rPr>
        <w:t xml:space="preserve"> по делу № А50-9824/2012 о взыскании 209 962 руб. убытков, причиненных ответчиком в результате ак</w:t>
      </w:r>
      <w:r>
        <w:rPr>
          <w:rFonts w:ascii="Times New Roman" w:hAnsi="Times New Roman"/>
          <w:sz w:val="28"/>
          <w:szCs w:val="28"/>
        </w:rPr>
        <w:t>та недобросовестной конкуренции.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1A2731" w:rsidRDefault="00DB066E" w:rsidP="00DB066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1.3. </w:t>
      </w:r>
      <w:r w:rsidRPr="001A2731">
        <w:rPr>
          <w:rFonts w:ascii="Times New Roman" w:hAnsi="Times New Roman"/>
          <w:b/>
          <w:sz w:val="28"/>
          <w:szCs w:val="28"/>
        </w:rPr>
        <w:t>Определение размера убытков в судебной практике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определении размера убытков принципиальное значение имеют позиции</w:t>
      </w:r>
      <w:r>
        <w:rPr>
          <w:rFonts w:ascii="Times New Roman" w:hAnsi="Times New Roman"/>
          <w:sz w:val="28"/>
          <w:szCs w:val="28"/>
        </w:rPr>
        <w:t>, изложенные в пунктах 12 и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23.06.2015</w:t>
      </w:r>
      <w:r w:rsidRPr="004436FA">
        <w:rPr>
          <w:rFonts w:ascii="Times New Roman" w:hAnsi="Times New Roman"/>
          <w:sz w:val="28"/>
          <w:szCs w:val="28"/>
        </w:rPr>
        <w:t xml:space="preserve"> № 25:</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w:t>
      </w:r>
      <w:r w:rsidRPr="002D7106">
        <w:rPr>
          <w:rFonts w:ascii="Times New Roman" w:hAnsi="Times New Roman"/>
          <w:sz w:val="28"/>
          <w:szCs w:val="28"/>
          <w:lang w:val="en-US"/>
        </w:rPr>
        <w:t> </w:t>
      </w:r>
      <w:r w:rsidRPr="002D7106">
        <w:rPr>
          <w:rFonts w:ascii="Times New Roman" w:hAnsi="Times New Roman"/>
          <w:sz w:val="28"/>
          <w:szCs w:val="28"/>
        </w:rPr>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«14. По смыслу статьи 15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 </w:t>
      </w:r>
    </w:p>
    <w:p w:rsidR="00DB066E" w:rsidRPr="004436FA"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Данная позиция разделяется практикой арбитражных судов.</w:t>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Суда по интеллектуальным правам от </w:t>
      </w:r>
      <w:r>
        <w:rPr>
          <w:rFonts w:ascii="Times New Roman" w:hAnsi="Times New Roman"/>
          <w:sz w:val="28"/>
          <w:szCs w:val="28"/>
        </w:rPr>
        <w:t>08.08.2014</w:t>
      </w:r>
      <w:r w:rsidRPr="004436FA">
        <w:rPr>
          <w:rFonts w:ascii="Times New Roman" w:hAnsi="Times New Roman"/>
          <w:sz w:val="28"/>
          <w:szCs w:val="28"/>
        </w:rPr>
        <w:t xml:space="preserve"> № С01-753/2014 по делу № А56-23056/2013 о взыскании убытков, причиненных</w:t>
      </w:r>
      <w:r>
        <w:rPr>
          <w:rFonts w:ascii="Times New Roman" w:hAnsi="Times New Roman"/>
          <w:sz w:val="28"/>
          <w:szCs w:val="28"/>
        </w:rPr>
        <w:t>,</w:t>
      </w:r>
      <w:r w:rsidRPr="004436FA">
        <w:rPr>
          <w:rFonts w:ascii="Times New Roman" w:hAnsi="Times New Roman"/>
          <w:sz w:val="28"/>
          <w:szCs w:val="28"/>
        </w:rPr>
        <w:t xml:space="preserve"> в том числе нарушением ответчиком части 2 статьи 14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w:t>
      </w:r>
      <w:r>
        <w:rPr>
          <w:rFonts w:ascii="Times New Roman" w:hAnsi="Times New Roman"/>
          <w:sz w:val="28"/>
          <w:szCs w:val="28"/>
        </w:rPr>
        <w:t>тков, являются подтвержденными.</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b/>
          <w:sz w:val="28"/>
          <w:szCs w:val="28"/>
        </w:rPr>
        <w:t xml:space="preserve">Пример 1. </w:t>
      </w:r>
      <w:r w:rsidRPr="004436FA">
        <w:rPr>
          <w:rFonts w:ascii="Times New Roman" w:hAnsi="Times New Roman"/>
          <w:sz w:val="28"/>
          <w:szCs w:val="28"/>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w:t>
      </w:r>
      <w:r w:rsidRPr="004436FA">
        <w:rPr>
          <w:rFonts w:ascii="Times New Roman" w:hAnsi="Times New Roman"/>
          <w:sz w:val="28"/>
          <w:szCs w:val="28"/>
          <w:lang w:val="en-US"/>
        </w:rPr>
        <w:t> </w:t>
      </w:r>
      <w:r w:rsidRPr="004436FA">
        <w:rPr>
          <w:rFonts w:ascii="Times New Roman" w:hAnsi="Times New Roman"/>
          <w:sz w:val="28"/>
          <w:szCs w:val="28"/>
        </w:rPr>
        <w:t>млрд.</w:t>
      </w:r>
      <w:r w:rsidRPr="004436FA">
        <w:rPr>
          <w:rFonts w:ascii="Times New Roman" w:hAnsi="Times New Roman"/>
          <w:sz w:val="28"/>
          <w:szCs w:val="28"/>
          <w:lang w:val="en-US"/>
        </w:rPr>
        <w:t> </w:t>
      </w:r>
      <w:r w:rsidRPr="004436FA">
        <w:rPr>
          <w:rFonts w:ascii="Times New Roman" w:hAnsi="Times New Roman"/>
          <w:sz w:val="28"/>
          <w:szCs w:val="28"/>
        </w:rPr>
        <w:t>руб. убытков в виде упущенной выгоды (решение Арбитражного суда города Санкт-Петербурга и Ленинградской области от 16</w:t>
      </w:r>
      <w:r>
        <w:rPr>
          <w:rFonts w:ascii="Times New Roman" w:hAnsi="Times New Roman"/>
          <w:sz w:val="28"/>
          <w:szCs w:val="28"/>
        </w:rPr>
        <w:t>.04.2015</w:t>
      </w:r>
      <w:r w:rsidRPr="004436FA">
        <w:rPr>
          <w:rFonts w:ascii="Times New Roman" w:hAnsi="Times New Roman"/>
          <w:sz w:val="28"/>
          <w:szCs w:val="28"/>
        </w:rPr>
        <w:t>, оставленное без изменения судами апелляционной и кассационной инстанций).</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расчет убытков в данном деле выглядел следующим образом:</w:t>
      </w:r>
    </w:p>
    <w:p w:rsidR="00DB066E" w:rsidRPr="00C80127" w:rsidRDefault="00DB066E" w:rsidP="00DB066E">
      <w:pPr>
        <w:spacing w:after="0" w:line="240" w:lineRule="auto"/>
        <w:ind w:firstLine="1276"/>
        <w:jc w:val="both"/>
        <w:rPr>
          <w:rFonts w:ascii="Times New Roman" w:hAnsi="Times New Roman"/>
          <w:sz w:val="28"/>
          <w:szCs w:val="28"/>
        </w:rPr>
      </w:pPr>
      <w:r w:rsidRPr="00C80127">
        <w:rPr>
          <w:rFonts w:ascii="Times New Roman" w:hAnsi="Times New Roman"/>
          <w:sz w:val="28"/>
          <w:szCs w:val="28"/>
        </w:rPr>
        <w:t>2 089 586 523 руб. 70 коп. - 427 482 013 руб. 80 коп. = 1 662 104 509 руб. 90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2. </w:t>
      </w:r>
      <w:r w:rsidRPr="004436FA">
        <w:rPr>
          <w:rFonts w:ascii="Times New Roman" w:hAnsi="Times New Roman"/>
          <w:sz w:val="28"/>
          <w:szCs w:val="28"/>
        </w:rPr>
        <w:t xml:space="preserve">Решение Арбитражного суда </w:t>
      </w:r>
      <w:r>
        <w:rPr>
          <w:rFonts w:ascii="Times New Roman" w:hAnsi="Times New Roman"/>
          <w:sz w:val="28"/>
          <w:szCs w:val="28"/>
        </w:rPr>
        <w:t>г.</w:t>
      </w:r>
      <w:r w:rsidRPr="004436FA">
        <w:rPr>
          <w:rFonts w:ascii="Times New Roman" w:hAnsi="Times New Roman"/>
          <w:sz w:val="28"/>
          <w:szCs w:val="28"/>
        </w:rPr>
        <w:t xml:space="preserve"> Москвы от </w:t>
      </w:r>
      <w:r>
        <w:rPr>
          <w:rFonts w:ascii="Times New Roman" w:hAnsi="Times New Roman"/>
          <w:sz w:val="28"/>
          <w:szCs w:val="28"/>
        </w:rPr>
        <w:t>12.07.2010</w:t>
      </w:r>
      <w:r w:rsidRPr="004436FA">
        <w:rPr>
          <w:rFonts w:ascii="Times New Roman" w:hAnsi="Times New Roman"/>
          <w:sz w:val="28"/>
          <w:szCs w:val="28"/>
        </w:rPr>
        <w:t xml:space="preserve"> по упоминавшемуся ранее делу № А40-46424/2010, которым в пользу истца было взыскано более 1,14 млрд. руб. убытков</w:t>
      </w:r>
      <w:r>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занимая доминирующее положение</w:t>
      </w:r>
      <w:r>
        <w:rPr>
          <w:rFonts w:ascii="Times New Roman" w:hAnsi="Times New Roman"/>
          <w:sz w:val="28"/>
          <w:szCs w:val="28"/>
        </w:rPr>
        <w:t xml:space="preserve"> на товарном рынке</w:t>
      </w:r>
      <w:r w:rsidRPr="004436FA">
        <w:rPr>
          <w:rFonts w:ascii="Times New Roman" w:hAnsi="Times New Roman"/>
          <w:sz w:val="28"/>
          <w:szCs w:val="28"/>
        </w:rPr>
        <w:t>, необоснованно установил для истц</w:t>
      </w:r>
      <w:r>
        <w:rPr>
          <w:rFonts w:ascii="Times New Roman" w:hAnsi="Times New Roman"/>
          <w:sz w:val="28"/>
          <w:szCs w:val="28"/>
        </w:rPr>
        <w:t>а цену на апатитовый концентрат</w:t>
      </w:r>
      <w:r w:rsidRPr="004436FA">
        <w:rPr>
          <w:rFonts w:ascii="Times New Roman" w:hAnsi="Times New Roman"/>
          <w:sz w:val="28"/>
          <w:szCs w:val="28"/>
        </w:rPr>
        <w:t xml:space="preserve"> более высокую, чем для других потребителей.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Доказательств обоснованности установленной цены ответчик не представил, в связи с чем суд пришел к выводу о нарушении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указанных неправомерных действий истец был вынужден приобретать апатитовый концентрат у ответчика по более высокой цене, чем другие российские потребители, что причинило ему убытки в виде реального ущерба.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решению суда размер указанной разницы сост</w:t>
      </w:r>
      <w:r>
        <w:rPr>
          <w:rFonts w:ascii="Times New Roman" w:hAnsi="Times New Roman"/>
          <w:sz w:val="28"/>
          <w:szCs w:val="28"/>
        </w:rPr>
        <w:t>авил 1 141 085 606 руб. 15 коп.</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3. </w:t>
      </w:r>
      <w:r w:rsidRPr="004436FA">
        <w:rPr>
          <w:rFonts w:ascii="Times New Roman" w:hAnsi="Times New Roman"/>
          <w:sz w:val="28"/>
          <w:szCs w:val="28"/>
        </w:rPr>
        <w:t>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w:t>
      </w:r>
      <w:r>
        <w:rPr>
          <w:rFonts w:ascii="Times New Roman" w:hAnsi="Times New Roman"/>
          <w:sz w:val="28"/>
          <w:szCs w:val="28"/>
        </w:rPr>
        <w:t>ы отключения теплоснабжения.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Однако после начала отопительного сезона ответчик уведомил истца о расторжении договора. Одновременно ответчик предложил истцу </w:t>
      </w:r>
      <w:r>
        <w:rPr>
          <w:rFonts w:ascii="Times New Roman" w:hAnsi="Times New Roman"/>
          <w:sz w:val="28"/>
          <w:szCs w:val="28"/>
        </w:rPr>
        <w:t>возобновить договорные отношения</w:t>
      </w:r>
      <w:r w:rsidRPr="004436FA">
        <w:rPr>
          <w:rFonts w:ascii="Times New Roman" w:hAnsi="Times New Roman"/>
          <w:sz w:val="28"/>
          <w:szCs w:val="28"/>
        </w:rPr>
        <w:t xml:space="preserve"> при условии увеличения тарифов и внесения истцом предоплаты в размере 10 млн. рублей.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Решением антимонопольного органа и актами арбитражных судов действия ответчика был признаны нарушающими подпункты 3 и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 навязывание невыгодных условий договора и нарушение установленного порядка ценообразования.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w:t>
      </w:r>
      <w:r w:rsidRPr="004436FA">
        <w:rPr>
          <w:rFonts w:ascii="Times New Roman" w:hAnsi="Times New Roman"/>
          <w:sz w:val="28"/>
          <w:szCs w:val="28"/>
          <w:lang w:val="en-US"/>
        </w:rPr>
        <w:t> </w:t>
      </w:r>
      <w:r w:rsidRPr="004436FA">
        <w:rPr>
          <w:rFonts w:ascii="Times New Roman" w:hAnsi="Times New Roman"/>
          <w:sz w:val="28"/>
          <w:szCs w:val="28"/>
        </w:rPr>
        <w:t>также заключить договор на строительно-монтажные работы системы отопления. Общая стоимость оборудования и строительно-монтажных работ составила 9 966</w:t>
      </w:r>
      <w:r w:rsidRPr="004436FA">
        <w:rPr>
          <w:rFonts w:ascii="Times New Roman" w:hAnsi="Times New Roman"/>
          <w:sz w:val="28"/>
          <w:szCs w:val="28"/>
          <w:lang w:val="en-US"/>
        </w:rPr>
        <w:t> </w:t>
      </w:r>
      <w:r w:rsidRPr="004436FA">
        <w:rPr>
          <w:rFonts w:ascii="Times New Roman" w:hAnsi="Times New Roman"/>
          <w:sz w:val="28"/>
          <w:szCs w:val="28"/>
        </w:rPr>
        <w:t>460 руб. Данная сумм</w:t>
      </w:r>
      <w:r>
        <w:rPr>
          <w:rFonts w:ascii="Times New Roman" w:hAnsi="Times New Roman"/>
          <w:sz w:val="28"/>
          <w:szCs w:val="28"/>
        </w:rPr>
        <w:t>а была признана убытками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4. </w:t>
      </w:r>
      <w:r w:rsidRPr="004436FA">
        <w:rPr>
          <w:rFonts w:ascii="Times New Roman" w:hAnsi="Times New Roman"/>
          <w:sz w:val="28"/>
          <w:szCs w:val="28"/>
        </w:rPr>
        <w:t xml:space="preserve">Постановлением Девятого арбитражного апелляционного суда от </w:t>
      </w:r>
      <w:r>
        <w:rPr>
          <w:rFonts w:ascii="Times New Roman" w:hAnsi="Times New Roman"/>
          <w:sz w:val="28"/>
          <w:szCs w:val="28"/>
        </w:rPr>
        <w:t>01.04.2015</w:t>
      </w:r>
      <w:r w:rsidRPr="004436FA">
        <w:rPr>
          <w:rFonts w:ascii="Times New Roman" w:hAnsi="Times New Roman"/>
          <w:sz w:val="28"/>
          <w:szCs w:val="28"/>
        </w:rPr>
        <w:t xml:space="preserve"> по делу № А40-133312/2014 было взыскано 429 850 руб. убытков, причиненных неправомерным включением в текст договора и технических условий поло</w:t>
      </w:r>
      <w:r>
        <w:rPr>
          <w:rFonts w:ascii="Times New Roman" w:hAnsi="Times New Roman"/>
          <w:sz w:val="28"/>
          <w:szCs w:val="28"/>
        </w:rPr>
        <w:t>жений, ущемляющих права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пользуясь своим доминирующим положением</w:t>
      </w:r>
      <w:r>
        <w:rPr>
          <w:rFonts w:ascii="Times New Roman" w:hAnsi="Times New Roman"/>
          <w:sz w:val="28"/>
          <w:szCs w:val="28"/>
        </w:rPr>
        <w:t xml:space="preserve"> на товарном рынке</w:t>
      </w:r>
      <w:r w:rsidRPr="004436FA">
        <w:rPr>
          <w:rFonts w:ascii="Times New Roman" w:hAnsi="Times New Roman"/>
          <w:sz w:val="28"/>
          <w:szCs w:val="28"/>
        </w:rPr>
        <w:t>,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r w:rsidRPr="00C12D06">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5. </w:t>
      </w:r>
      <w:r w:rsidRPr="004436FA">
        <w:rPr>
          <w:rFonts w:ascii="Times New Roman" w:hAnsi="Times New Roman"/>
          <w:sz w:val="28"/>
          <w:szCs w:val="28"/>
        </w:rPr>
        <w:t>В рамках упомянутого ранее дела № А40-143297/2012 в пользу истца было взыскано 579 278 руб. убытков, причиненных нарушением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которое выразилось в установлении требований по загрузке железнодорожных вагонов то</w:t>
      </w:r>
      <w:r>
        <w:rPr>
          <w:rFonts w:ascii="Times New Roman" w:hAnsi="Times New Roman"/>
          <w:sz w:val="28"/>
          <w:szCs w:val="28"/>
        </w:rPr>
        <w:t>лько определенным видом товаров.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итоге в августе и сентябре 2010 г. ответчиком не были предоставлены вагоны, необходимые истцу для перевозки грузов.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Данные действия ответчика были признаны ФАС России злоупотреблением доминирующим положением</w:t>
      </w:r>
      <w:r>
        <w:rPr>
          <w:rFonts w:ascii="Times New Roman" w:hAnsi="Times New Roman"/>
          <w:sz w:val="28"/>
          <w:szCs w:val="28"/>
        </w:rPr>
        <w:t xml:space="preserve"> на товарном рынке.</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определены как расходы, которые он пон</w:t>
      </w:r>
      <w:r>
        <w:rPr>
          <w:rFonts w:ascii="Times New Roman" w:hAnsi="Times New Roman"/>
          <w:sz w:val="28"/>
          <w:szCs w:val="28"/>
        </w:rPr>
        <w:t>е</w:t>
      </w:r>
      <w:r w:rsidRPr="004436FA">
        <w:rPr>
          <w:rFonts w:ascii="Times New Roman" w:hAnsi="Times New Roman"/>
          <w:sz w:val="28"/>
          <w:szCs w:val="28"/>
        </w:rPr>
        <w:t xml:space="preserve">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w:t>
      </w:r>
      <w:r>
        <w:rPr>
          <w:rFonts w:ascii="Times New Roman" w:hAnsi="Times New Roman"/>
          <w:sz w:val="28"/>
          <w:szCs w:val="28"/>
        </w:rPr>
        <w:t>были удовлетворены в полном объе</w:t>
      </w:r>
      <w:r w:rsidRPr="004436FA">
        <w:rPr>
          <w:rFonts w:ascii="Times New Roman" w:hAnsi="Times New Roman"/>
          <w:sz w:val="28"/>
          <w:szCs w:val="28"/>
        </w:rPr>
        <w:t>ме.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6. </w:t>
      </w:r>
      <w:r w:rsidRPr="004436FA">
        <w:rPr>
          <w:rFonts w:ascii="Times New Roman" w:hAnsi="Times New Roman"/>
          <w:bCs/>
          <w:sz w:val="28"/>
          <w:szCs w:val="28"/>
        </w:rPr>
        <w:t xml:space="preserve">Постановление Президиума Высшего Арбитражного Суда </w:t>
      </w:r>
      <w:r w:rsidRPr="004436FA">
        <w:rPr>
          <w:rFonts w:ascii="Times New Roman" w:hAnsi="Times New Roman"/>
          <w:sz w:val="28"/>
          <w:szCs w:val="28"/>
        </w:rPr>
        <w:t>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w:t>
      </w:r>
      <w:r w:rsidRPr="004436FA">
        <w:rPr>
          <w:rFonts w:ascii="Times New Roman" w:hAnsi="Times New Roman"/>
          <w:bCs/>
          <w:sz w:val="28"/>
          <w:szCs w:val="28"/>
        </w:rPr>
        <w:t xml:space="preserve">от </w:t>
      </w:r>
      <w:r>
        <w:rPr>
          <w:rFonts w:ascii="Times New Roman" w:hAnsi="Times New Roman"/>
          <w:bCs/>
          <w:sz w:val="28"/>
          <w:szCs w:val="28"/>
        </w:rPr>
        <w:t>02.02.2010</w:t>
      </w:r>
      <w:r w:rsidRPr="004436FA">
        <w:rPr>
          <w:rFonts w:ascii="Times New Roman" w:hAnsi="Times New Roman"/>
          <w:bCs/>
          <w:sz w:val="28"/>
          <w:szCs w:val="28"/>
        </w:rPr>
        <w:t xml:space="preserve"> № 4158/09 по делу № </w:t>
      </w:r>
      <w:r>
        <w:rPr>
          <w:rFonts w:ascii="Times New Roman" w:hAnsi="Times New Roman"/>
          <w:sz w:val="28"/>
          <w:szCs w:val="28"/>
        </w:rPr>
        <w:t>А40-64377/08-77-496.</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данном споре Высший Арбитражный Суд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отменными Президиумом Высш</w:t>
      </w:r>
      <w:r>
        <w:rPr>
          <w:rFonts w:ascii="Times New Roman" w:hAnsi="Times New Roman"/>
          <w:sz w:val="28"/>
          <w:szCs w:val="28"/>
        </w:rPr>
        <w:t>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актами нижестоящих судов взысканная в пользу истца разница была определена в размере немногим менее 2 млрд. руб.).</w:t>
      </w:r>
    </w:p>
    <w:p w:rsidR="00DB066E" w:rsidRPr="004436FA" w:rsidRDefault="00DB066E" w:rsidP="00DB066E">
      <w:pPr>
        <w:spacing w:after="0" w:line="240" w:lineRule="auto"/>
        <w:ind w:firstLine="709"/>
        <w:jc w:val="both"/>
        <w:rPr>
          <w:rFonts w:ascii="Times New Roman" w:hAnsi="Times New Roman"/>
          <w:b/>
          <w:sz w:val="28"/>
          <w:szCs w:val="28"/>
        </w:rPr>
      </w:pPr>
      <w:r w:rsidRPr="004436FA">
        <w:rPr>
          <w:rFonts w:ascii="Times New Roman" w:hAnsi="Times New Roman"/>
          <w:sz w:val="28"/>
          <w:szCs w:val="28"/>
        </w:rPr>
        <w:t>При этом суд указал, что право на взыскание убытков при подобных обстоятельствах не зависит от де</w:t>
      </w:r>
      <w:r>
        <w:rPr>
          <w:rFonts w:ascii="Times New Roman" w:hAnsi="Times New Roman"/>
          <w:sz w:val="28"/>
          <w:szCs w:val="28"/>
        </w:rPr>
        <w:t>йствительности договора (условий</w:t>
      </w:r>
      <w:r w:rsidRPr="004436FA">
        <w:rPr>
          <w:rFonts w:ascii="Times New Roman" w:hAnsi="Times New Roman"/>
          <w:sz w:val="28"/>
          <w:szCs w:val="28"/>
        </w:rPr>
        <w:t xml:space="preserve">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B066E" w:rsidRPr="004436FA" w:rsidRDefault="00DB066E" w:rsidP="00DB066E">
      <w:pPr>
        <w:spacing w:after="0" w:line="240" w:lineRule="auto"/>
        <w:ind w:firstLine="709"/>
        <w:jc w:val="both"/>
        <w:rPr>
          <w:rFonts w:ascii="Times New Roman" w:hAnsi="Times New Roman"/>
          <w:sz w:val="28"/>
          <w:szCs w:val="28"/>
        </w:rPr>
      </w:pPr>
      <w:r w:rsidRPr="00043AAE">
        <w:rPr>
          <w:rFonts w:ascii="Times New Roman" w:hAnsi="Times New Roman"/>
          <w:sz w:val="28"/>
          <w:szCs w:val="28"/>
        </w:rPr>
        <w:t xml:space="preserve">Также один из способов расчета убытков закреплен в пункте 2 статьи 393.1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w:t>
      </w:r>
      <w:r w:rsidRPr="00043AAE">
        <w:rPr>
          <w:rFonts w:ascii="Times New Roman" w:eastAsia="BatangChe" w:hAnsi="Times New Roman"/>
          <w:sz w:val="28"/>
          <w:szCs w:val="28"/>
        </w:rPr>
        <w:t xml:space="preserve">Однако указанный </w:t>
      </w:r>
      <w:r w:rsidRPr="00043AAE">
        <w:rPr>
          <w:rFonts w:ascii="Times New Roman" w:hAnsi="Times New Roman"/>
          <w:sz w:val="28"/>
          <w:szCs w:val="28"/>
        </w:rPr>
        <w:t>способ расчета убытков пока что не получил значительного практического применения. Кроме того, применение данной нормы при взыскании убытков возможно при наличии определенного условия – прекращения договора с нарушителем и</w:t>
      </w:r>
      <w:r w:rsidRPr="004436FA">
        <w:rPr>
          <w:rFonts w:ascii="Times New Roman" w:hAnsi="Times New Roman"/>
          <w:sz w:val="28"/>
          <w:szCs w:val="28"/>
        </w:rPr>
        <w:t xml:space="preserve"> незаключения нового взамен прекращенного.</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1.4. </w:t>
      </w:r>
      <w:r w:rsidRPr="001A2731">
        <w:rPr>
          <w:rFonts w:ascii="Times New Roman" w:hAnsi="Times New Roman"/>
          <w:b/>
          <w:sz w:val="28"/>
          <w:szCs w:val="28"/>
        </w:rPr>
        <w:t>Законодательное ограничение возможности взыскания убытков</w:t>
      </w:r>
    </w:p>
    <w:p w:rsidR="00DB066E" w:rsidRPr="004436FA" w:rsidRDefault="00DB066E" w:rsidP="00DB066E">
      <w:pPr>
        <w:spacing w:after="0" w:line="240" w:lineRule="auto"/>
        <w:ind w:firstLine="709"/>
        <w:jc w:val="both"/>
        <w:rPr>
          <w:rFonts w:ascii="Times New Roman" w:hAnsi="Times New Roman"/>
          <w:b/>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Согласно </w:t>
      </w:r>
      <w:hyperlink r:id="rId45" w:history="1">
        <w:r w:rsidRPr="004436FA">
          <w:rPr>
            <w:rFonts w:ascii="Times New Roman" w:hAnsi="Times New Roman"/>
            <w:sz w:val="28"/>
            <w:szCs w:val="28"/>
          </w:rPr>
          <w:t>статье 15</w:t>
        </w:r>
      </w:hyperlink>
      <w:r w:rsidRPr="004436FA">
        <w:rPr>
          <w:rFonts w:ascii="Times New Roman" w:hAnsi="Times New Roman"/>
          <w:sz w:val="28"/>
          <w:szCs w:val="28"/>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w:t>
      </w:r>
      <w:r>
        <w:rPr>
          <w:rFonts w:ascii="Times New Roman" w:hAnsi="Times New Roman"/>
          <w:sz w:val="28"/>
          <w:szCs w:val="28"/>
        </w:rPr>
        <w:t>25 «</w:t>
      </w:r>
      <w:r w:rsidRPr="007A07DF">
        <w:rPr>
          <w:rFonts w:ascii="Times New Roman" w:hAnsi="Times New Roman"/>
          <w:sz w:val="28"/>
          <w:szCs w:val="28"/>
        </w:rPr>
        <w:t>О применении судами некоторых положений раздела I части первой Гражданского кодекса Российской Федерации»).</w:t>
      </w:r>
    </w:p>
    <w:p w:rsidR="00DB066E" w:rsidRPr="004436FA" w:rsidRDefault="00DB066E" w:rsidP="00DB066E">
      <w:pPr>
        <w:spacing w:after="0" w:line="240" w:lineRule="auto"/>
        <w:ind w:firstLine="709"/>
        <w:jc w:val="both"/>
        <w:rPr>
          <w:rFonts w:ascii="Times New Roman" w:hAnsi="Times New Roman"/>
          <w:sz w:val="28"/>
          <w:szCs w:val="28"/>
        </w:rPr>
      </w:pPr>
      <w:r w:rsidRPr="007A07DF">
        <w:rPr>
          <w:rFonts w:ascii="Times New Roman" w:hAnsi="Times New Roman"/>
          <w:b/>
          <w:sz w:val="28"/>
          <w:szCs w:val="28"/>
        </w:rPr>
        <w:t>Пример.</w:t>
      </w:r>
      <w:r w:rsidRPr="004436FA">
        <w:rPr>
          <w:rFonts w:ascii="Times New Roman" w:hAnsi="Times New Roman"/>
          <w:b/>
          <w:sz w:val="28"/>
          <w:szCs w:val="28"/>
        </w:rPr>
        <w:t xml:space="preserve"> </w:t>
      </w:r>
      <w:r w:rsidRPr="004436FA">
        <w:rPr>
          <w:rFonts w:ascii="Times New Roman" w:hAnsi="Times New Roman"/>
          <w:sz w:val="28"/>
          <w:szCs w:val="28"/>
        </w:rPr>
        <w:t xml:space="preserve">Дело № </w:t>
      </w:r>
      <w:hyperlink r:id="rId46" w:history="1">
        <w:r w:rsidRPr="004436FA">
          <w:rPr>
            <w:rFonts w:ascii="Times New Roman" w:hAnsi="Times New Roman"/>
            <w:sz w:val="28"/>
            <w:szCs w:val="28"/>
          </w:rPr>
          <w:t>А53-20302/2012</w:t>
        </w:r>
      </w:hyperlink>
      <w:r w:rsidRPr="004436FA">
        <w:rPr>
          <w:rFonts w:ascii="Times New Roman" w:hAnsi="Times New Roman"/>
          <w:sz w:val="28"/>
          <w:szCs w:val="28"/>
        </w:rPr>
        <w:t xml:space="preserve"> о взыскании убытков, причиненных нарушением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в форме одностороннего отказа ответчиком от приема тепловой энергии от истца по договору поставки энергоресурсов: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Отношения хозяйствующих субъектов, возникающие в сфере энергоснабжения, урегулированы специальными нормами </w:t>
      </w:r>
      <w:hyperlink r:id="rId47" w:history="1">
        <w:r w:rsidRPr="004436FA">
          <w:rPr>
            <w:rFonts w:ascii="Times New Roman" w:hAnsi="Times New Roman"/>
            <w:sz w:val="28"/>
            <w:szCs w:val="28"/>
          </w:rPr>
          <w:t>параграфа 6 главы 30</w:t>
        </w:r>
      </w:hyperlink>
      <w:r w:rsidRPr="004436FA">
        <w:rPr>
          <w:rFonts w:ascii="Times New Roman" w:hAnsi="Times New Roman"/>
          <w:sz w:val="28"/>
          <w:szCs w:val="28"/>
        </w:rPr>
        <w:t xml:space="preserve"> ГК РФ. В соответствии со </w:t>
      </w:r>
      <w:hyperlink r:id="rId48" w:history="1">
        <w:r w:rsidRPr="004436FA">
          <w:rPr>
            <w:rFonts w:ascii="Times New Roman" w:hAnsi="Times New Roman"/>
            <w:sz w:val="28"/>
            <w:szCs w:val="28"/>
          </w:rPr>
          <w:t>статьей 547</w:t>
        </w:r>
      </w:hyperlink>
      <w:r w:rsidRPr="004436FA">
        <w:rPr>
          <w:rFonts w:ascii="Times New Roman" w:hAnsi="Times New Roman"/>
          <w:sz w:val="28"/>
          <w:szCs w:val="28"/>
        </w:rPr>
        <w:t xml:space="preserve">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Таким образом, закон, регулирующий конкретный вид обязательств, ограничил ответственность по ним в сравнении со </w:t>
      </w:r>
      <w:hyperlink r:id="rId49" w:history="1">
        <w:r w:rsidRPr="004436FA">
          <w:rPr>
            <w:rFonts w:ascii="Times New Roman" w:hAnsi="Times New Roman"/>
            <w:sz w:val="28"/>
            <w:szCs w:val="28"/>
          </w:rPr>
          <w:t>статьей 15</w:t>
        </w:r>
      </w:hyperlink>
      <w:r w:rsidRPr="004436FA">
        <w:rPr>
          <w:rFonts w:ascii="Times New Roman" w:hAnsi="Times New Roman"/>
          <w:sz w:val="28"/>
          <w:szCs w:val="28"/>
        </w:rPr>
        <w:t xml:space="preserve"> ГК РФ, устанавливающей принцип полного возмещения убытков, в том числе упущенной выгоды.</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1.5. </w:t>
      </w:r>
      <w:r w:rsidRPr="004436FA">
        <w:rPr>
          <w:rFonts w:ascii="Times New Roman" w:hAnsi="Times New Roman"/>
          <w:b/>
          <w:sz w:val="28"/>
          <w:szCs w:val="28"/>
        </w:rPr>
        <w:t>Перенос издержек и иски косвенных покупателей</w:t>
      </w:r>
    </w:p>
    <w:p w:rsidR="00DB066E" w:rsidRPr="004436FA" w:rsidRDefault="00DB066E" w:rsidP="00DB066E">
      <w:pPr>
        <w:spacing w:after="0" w:line="240" w:lineRule="auto"/>
        <w:jc w:val="both"/>
        <w:rPr>
          <w:rFonts w:ascii="Times New Roman" w:hAnsi="Times New Roman"/>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контексте предмета доказывания по делам о возмещении вреда особое значение имеет так называемый перенос издержек</w:t>
      </w:r>
      <w:r w:rsidRPr="004436FA">
        <w:rPr>
          <w:rStyle w:val="ab"/>
          <w:rFonts w:ascii="Times New Roman" w:hAnsi="Times New Roman"/>
          <w:sz w:val="28"/>
          <w:szCs w:val="28"/>
        </w:rPr>
        <w:footnoteReference w:id="19"/>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w:t>
      </w:r>
      <w:r>
        <w:rPr>
          <w:rFonts w:ascii="Times New Roman" w:hAnsi="Times New Roman"/>
          <w:sz w:val="28"/>
          <w:szCs w:val="28"/>
        </w:rPr>
        <w:t xml:space="preserve">ценам </w:t>
      </w:r>
      <w:r w:rsidRPr="004436FA">
        <w:rPr>
          <w:rFonts w:ascii="Times New Roman" w:hAnsi="Times New Roman"/>
          <w:sz w:val="28"/>
          <w:szCs w:val="28"/>
        </w:rPr>
        <w:t>или монопольно высоким ценам и т.п.), увеличивает стоимость собственн</w:t>
      </w:r>
      <w:r>
        <w:rPr>
          <w:rFonts w:ascii="Times New Roman" w:hAnsi="Times New Roman"/>
          <w:sz w:val="28"/>
          <w:szCs w:val="28"/>
        </w:rPr>
        <w:t>ых</w:t>
      </w:r>
      <w:r w:rsidRPr="004436FA">
        <w:rPr>
          <w:rFonts w:ascii="Times New Roman" w:hAnsi="Times New Roman"/>
          <w:sz w:val="28"/>
          <w:szCs w:val="28"/>
        </w:rPr>
        <w:t xml:space="preserve"> </w:t>
      </w:r>
      <w:r>
        <w:rPr>
          <w:rFonts w:ascii="Times New Roman" w:hAnsi="Times New Roman"/>
          <w:sz w:val="28"/>
          <w:szCs w:val="28"/>
        </w:rPr>
        <w:t>товаров</w:t>
      </w:r>
      <w:r w:rsidRPr="004436FA">
        <w:rPr>
          <w:rFonts w:ascii="Times New Roman" w:hAnsi="Times New Roman"/>
          <w:sz w:val="28"/>
          <w:szCs w:val="28"/>
        </w:rPr>
        <w:t>, услуг или работ, «перекладывая» тем самым свое возросшее финансовое бремя на других лиц (полностью или частично).</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связи с этим крайне актуален вывод из Решения Европейского суда Справедливости от </w:t>
      </w:r>
      <w:r>
        <w:rPr>
          <w:rFonts w:ascii="Times New Roman" w:hAnsi="Times New Roman"/>
          <w:sz w:val="28"/>
          <w:szCs w:val="28"/>
        </w:rPr>
        <w:t>02.10.2003</w:t>
      </w:r>
      <w:r w:rsidRPr="004436FA">
        <w:rPr>
          <w:rFonts w:ascii="Times New Roman" w:hAnsi="Times New Roman"/>
          <w:sz w:val="28"/>
          <w:szCs w:val="28"/>
        </w:rPr>
        <w:t xml:space="preserve"> по делу № C-147/01: </w:t>
      </w:r>
      <w:r w:rsidRPr="004436FA">
        <w:rPr>
          <w:rFonts w:ascii="Times New Roman" w:hAnsi="Times New Roman"/>
          <w:i/>
          <w:iCs/>
          <w:sz w:val="28"/>
          <w:szCs w:val="28"/>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Утвердительный ответ на данный вопрос также не противоречит действующему российскому законодательству.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Косвенные покупатели продукции (товаров, работ, услуг) нарушителя также вправе требовать от него возмещения убытков. При этом «задвоения»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DB066E" w:rsidRPr="004436FA" w:rsidRDefault="00DB066E" w:rsidP="00DB066E">
      <w:pPr>
        <w:pStyle w:val="1"/>
        <w:spacing w:before="0" w:line="240" w:lineRule="auto"/>
        <w:ind w:firstLine="709"/>
        <w:jc w:val="both"/>
        <w:rPr>
          <w:rFonts w:ascii="Times New Roman" w:hAnsi="Times New Roman"/>
          <w:color w:val="auto"/>
        </w:rPr>
      </w:pPr>
      <w:bookmarkStart w:id="13" w:name="_Ref405299388"/>
      <w:bookmarkStart w:id="14" w:name="_Toc487536219"/>
      <w:r>
        <w:rPr>
          <w:rFonts w:ascii="Times New Roman" w:hAnsi="Times New Roman"/>
          <w:color w:val="auto"/>
        </w:rPr>
        <w:t>2</w:t>
      </w:r>
      <w:r w:rsidRPr="004436FA">
        <w:rPr>
          <w:rFonts w:ascii="Times New Roman" w:hAnsi="Times New Roman"/>
          <w:color w:val="auto"/>
        </w:rPr>
        <w:t>. Концептуальные подходы к расчету убытков</w:t>
      </w:r>
      <w:bookmarkEnd w:id="13"/>
      <w:r w:rsidRPr="004436FA">
        <w:rPr>
          <w:rFonts w:ascii="Times New Roman" w:hAnsi="Times New Roman"/>
          <w:color w:val="auto"/>
        </w:rPr>
        <w:t>.</w:t>
      </w:r>
      <w:bookmarkEnd w:id="14"/>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контрфактуальный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контрфактуального анализа на практике. В завершающем подразделе 2.3 обсуждаются источники информации, используемые в ходе проведении экспертизы по расчету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Примеры применения описанных выше подходов, включая иллюстративные расчеты, приводятся в последующих разделах 3 и 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15" w:name="_Ref406682950"/>
      <w:bookmarkStart w:id="16" w:name="_Toc487536220"/>
      <w:r>
        <w:rPr>
          <w:rFonts w:ascii="Times New Roman" w:hAnsi="Times New Roman"/>
          <w:color w:val="auto"/>
          <w:sz w:val="28"/>
          <w:szCs w:val="28"/>
        </w:rPr>
        <w:t>2</w:t>
      </w:r>
      <w:r w:rsidRPr="004436FA">
        <w:rPr>
          <w:rFonts w:ascii="Times New Roman" w:hAnsi="Times New Roman"/>
          <w:color w:val="auto"/>
          <w:sz w:val="28"/>
          <w:szCs w:val="28"/>
        </w:rPr>
        <w:t>.1. Общие принципы</w:t>
      </w:r>
      <w:bookmarkEnd w:id="15"/>
      <w:r w:rsidRPr="004436FA">
        <w:rPr>
          <w:rFonts w:ascii="Times New Roman" w:hAnsi="Times New Roman"/>
          <w:color w:val="auto"/>
          <w:sz w:val="28"/>
          <w:szCs w:val="28"/>
        </w:rPr>
        <w:t>.</w:t>
      </w:r>
      <w:bookmarkEnd w:id="16"/>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7" w:name="_Toc487536221"/>
      <w:r>
        <w:rPr>
          <w:rFonts w:ascii="Times New Roman" w:hAnsi="Times New Roman"/>
          <w:color w:val="auto"/>
          <w:sz w:val="28"/>
          <w:szCs w:val="28"/>
        </w:rPr>
        <w:t>2</w:t>
      </w:r>
      <w:r w:rsidRPr="004436FA">
        <w:rPr>
          <w:rFonts w:ascii="Times New Roman" w:hAnsi="Times New Roman"/>
          <w:color w:val="auto"/>
          <w:sz w:val="28"/>
          <w:szCs w:val="28"/>
        </w:rPr>
        <w:t>.1.1. Контрфактуальный анализ.</w:t>
      </w:r>
      <w:bookmarkEnd w:id="17"/>
    </w:p>
    <w:p w:rsidR="00DB066E"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Данный подход предполагает, что</w:t>
      </w:r>
      <w:r w:rsidRPr="004436FA">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4436FA">
        <w:rPr>
          <w:rFonts w:ascii="Times New Roman" w:hAnsi="Times New Roman" w:cs="Times New Roman"/>
          <w:sz w:val="28"/>
          <w:szCs w:val="28"/>
        </w:rPr>
        <w:t xml:space="preserve">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Практическое применение контрфактуального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w:t>
      </w:r>
      <w:r w:rsidRPr="004436FA">
        <w:rPr>
          <w:rStyle w:val="ab"/>
          <w:rFonts w:ascii="Times New Roman" w:hAnsi="Times New Roman" w:cs="Times New Roman"/>
          <w:sz w:val="28"/>
          <w:szCs w:val="28"/>
        </w:rPr>
        <w:footnoteReference w:id="20"/>
      </w:r>
      <w:r w:rsidRPr="004436FA">
        <w:rPr>
          <w:rFonts w:ascii="Times New Roman" w:hAnsi="Times New Roman" w:cs="Times New Roman"/>
          <w:sz w:val="28"/>
          <w:szCs w:val="28"/>
        </w:rPr>
        <w:t xml:space="preserve"> и т.д.</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18" w:name="_Toc487536222"/>
      <w:r w:rsidRPr="004436FA">
        <w:rPr>
          <w:rFonts w:ascii="Times New Roman" w:hAnsi="Times New Roman"/>
          <w:color w:val="auto"/>
          <w:sz w:val="28"/>
          <w:szCs w:val="28"/>
        </w:rPr>
        <w:t>2.1.2. Временной фактор и упущенная выгода (недополученная прибыль).</w:t>
      </w:r>
      <w:bookmarkEnd w:id="1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w:t>
      </w:r>
      <w:r>
        <w:rPr>
          <w:rFonts w:ascii="Times New Roman" w:hAnsi="Times New Roman" w:cs="Times New Roman"/>
          <w:sz w:val="28"/>
          <w:szCs w:val="28"/>
        </w:rPr>
        <w:t xml:space="preserve">о </w:t>
      </w:r>
      <w:r w:rsidRPr="004436FA">
        <w:rPr>
          <w:rFonts w:ascii="Times New Roman" w:hAnsi="Times New Roman" w:cs="Times New Roman"/>
          <w:sz w:val="28"/>
          <w:szCs w:val="28"/>
        </w:rPr>
        <w:t>е</w:t>
      </w:r>
      <w:r>
        <w:rPr>
          <w:rFonts w:ascii="Times New Roman" w:hAnsi="Times New Roman" w:cs="Times New Roman"/>
          <w:sz w:val="28"/>
          <w:szCs w:val="28"/>
        </w:rPr>
        <w:t>сть</w:t>
      </w:r>
      <w:r w:rsidRPr="004436FA">
        <w:rPr>
          <w:rFonts w:ascii="Times New Roman" w:hAnsi="Times New Roman" w:cs="Times New Roman"/>
          <w:sz w:val="28"/>
          <w:szCs w:val="28"/>
        </w:rPr>
        <w:t xml:space="preserve"> на момент осуществления оценки), с учетом упущенных (инвестиционных или коммерческих) возможностей. В противном случае убыток будет оценен не полностью.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иллюстрации в качестве простого примера можно представить ситуацию, когда в результате антиконкурентных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случае</w:t>
      </w:r>
      <w:r w:rsidRPr="004436FA">
        <w:rPr>
          <w:rFonts w:ascii="Times New Roman" w:hAnsi="Times New Roman" w:cs="Times New Roman"/>
          <w:sz w:val="28"/>
          <w:szCs w:val="28"/>
        </w:rPr>
        <w:t>, если пострадавшее лицо ежегодно получает отдачу в размере 10% на вложенный капитал, то недополучение прибыли размером в 100 тыс. руб., которая могла бы быть проинвестирована в течение 2 лет приведет к дополнительном убытку (упущенной выгоде) в размере 21 тыс. руб. (10 тыс. руб. = 100 тыс. * 10% в первый год и 11 тыс. руб. = 110 тыс.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9" w:name="_Toc487536223"/>
      <w:r w:rsidRPr="004436FA">
        <w:rPr>
          <w:rFonts w:ascii="Times New Roman" w:hAnsi="Times New Roman"/>
          <w:color w:val="auto"/>
          <w:sz w:val="28"/>
          <w:szCs w:val="28"/>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bookmarkEnd w:id="1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основных типа антимонопольных нарушений, приводящих к сходным типам финансовых потерь.</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1"/>
        </w:numPr>
        <w:tabs>
          <w:tab w:val="left" w:pos="851"/>
        </w:tabs>
        <w:ind w:left="0"/>
        <w:jc w:val="both"/>
      </w:pPr>
      <w:r w:rsidRPr="004436FA">
        <w:t>установление, поддержание монопольно высоких цен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изъятие товара из обращения, если результатом такого изъятия явилось повышение цены товара (пункт 2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экономически или технологически не обоснованные сокращение или прекращение производства товара (пункт 4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0" w:name="sub_100107"/>
      <w:bookmarkStart w:id="21" w:name="sub_100103"/>
      <w:r w:rsidRPr="004436FA">
        <w:t>установление финансовой организацией необоснованно высокой цены финансовой услуги (пункт 7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2" w:name="sub_100110"/>
      <w:bookmarkEnd w:id="20"/>
      <w:r w:rsidRPr="004436FA">
        <w:t>нарушение установленного нормативными правовыми актами порядка ценообразования (пункт 10 части 1 статьи 10 Закона</w:t>
      </w:r>
      <w:r>
        <w:t xml:space="preserve"> о защите конкуренции</w:t>
      </w:r>
      <w:r w:rsidRPr="004436FA">
        <w:t>);</w:t>
      </w:r>
    </w:p>
    <w:bookmarkEnd w:id="22"/>
    <w:p w:rsidR="00DB066E" w:rsidRPr="004436FA" w:rsidRDefault="00DB066E" w:rsidP="00DB066E">
      <w:pPr>
        <w:pStyle w:val="ConsPlusNormal"/>
        <w:numPr>
          <w:ilvl w:val="0"/>
          <w:numId w:val="41"/>
        </w:numPr>
        <w:tabs>
          <w:tab w:val="left" w:pos="851"/>
        </w:tabs>
        <w:ind w:left="0"/>
        <w:jc w:val="both"/>
      </w:pPr>
      <w:r w:rsidRPr="004436FA">
        <w:t>манипулирование на оптовом и (или) розничных рынках электрической энергии (мощности) ценами (пункт 11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картельные соглашения, которые привели к </w:t>
      </w:r>
      <w:bookmarkStart w:id="23" w:name="sub_110101"/>
      <w:r w:rsidRPr="004436FA">
        <w:t>установлению или поддержанию цен (тарифов), скидок, надбавок (доплат) и (или) наценок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4" w:name="sub_110102"/>
      <w:bookmarkEnd w:id="23"/>
      <w:r w:rsidRPr="004436FA">
        <w:t>картельные соглашения, которые привели к повышению или поддержанию цен на торгах (пункт 2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5" w:name="sub_110103"/>
      <w:bookmarkEnd w:id="24"/>
      <w:r w:rsidRPr="004436FA">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rsidRPr="0055400C">
        <w:t xml:space="preserve"> </w:t>
      </w:r>
      <w:r>
        <w:t>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6" w:name="sub_171122"/>
      <w:bookmarkEnd w:id="25"/>
      <w:r w:rsidRPr="004436FA">
        <w:t>картельные соглашения, которые привели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вертикальные соглашения, направленные на установление цены перепродажи товара (пункт 1 части 2 статьи 11 Закона</w:t>
      </w:r>
      <w:r>
        <w:t xml:space="preserve"> о защите конкуренции</w:t>
      </w:r>
      <w:r w:rsidRPr="004436FA">
        <w:t xml:space="preserve">); </w:t>
      </w:r>
    </w:p>
    <w:p w:rsidR="00DB066E" w:rsidRPr="004436FA" w:rsidRDefault="00DB066E" w:rsidP="00DB066E">
      <w:pPr>
        <w:pStyle w:val="ConsPlusNormal"/>
        <w:numPr>
          <w:ilvl w:val="0"/>
          <w:numId w:val="41"/>
        </w:numPr>
        <w:tabs>
          <w:tab w:val="left" w:pos="851"/>
        </w:tabs>
        <w:ind w:left="0"/>
        <w:jc w:val="both"/>
      </w:pPr>
      <w:r w:rsidRPr="004436FA">
        <w:t xml:space="preserve">вертикальные соглашения с обязательством </w:t>
      </w:r>
      <w:bookmarkStart w:id="27" w:name="sub_111220"/>
      <w:bookmarkEnd w:id="26"/>
      <w:r w:rsidRPr="004436FA">
        <w:t>покупателя не продавать товар хозяйствующего субъекта, который является конкурентом продавца (пункт 1 части 2 статьи 11 Закона</w:t>
      </w:r>
      <w:r>
        <w:t xml:space="preserve"> о защите конкуренции</w:t>
      </w:r>
      <w:r w:rsidRPr="004436FA">
        <w:t>);</w:t>
      </w:r>
      <w:bookmarkEnd w:id="21"/>
      <w:bookmarkEnd w:id="27"/>
    </w:p>
    <w:p w:rsidR="00DB066E" w:rsidRPr="004436FA" w:rsidRDefault="00DB066E" w:rsidP="00DB066E">
      <w:pPr>
        <w:pStyle w:val="ConsPlusNormal"/>
        <w:numPr>
          <w:ilvl w:val="0"/>
          <w:numId w:val="41"/>
        </w:numPr>
        <w:tabs>
          <w:tab w:val="left" w:pos="851"/>
        </w:tabs>
        <w:ind w:left="0"/>
        <w:jc w:val="both"/>
      </w:pPr>
      <w:r w:rsidRPr="004436FA">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повышению или поддержанию цен на торгах (пункт 2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сокращению или прекращению производства товаров (пункт 4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соглашения или согласованные действия органов власти и хозяйствующих субъектов, направленные на </w:t>
      </w:r>
      <w:bookmarkStart w:id="28" w:name="sub_1601"/>
      <w:r w:rsidRPr="004436FA">
        <w:t>повышение или поддержание цен (тарифов)</w:t>
      </w:r>
      <w:bookmarkStart w:id="29" w:name="sub_1602"/>
      <w:bookmarkEnd w:id="28"/>
      <w:r w:rsidRPr="004436FA">
        <w:t xml:space="preserve">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30" w:name="sub_1603"/>
      <w:bookmarkEnd w:id="29"/>
      <w:r w:rsidRPr="004436FA">
        <w:t>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3. </w:t>
      </w:r>
    </w:p>
    <w:bookmarkEnd w:id="30"/>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2"/>
        </w:numPr>
        <w:tabs>
          <w:tab w:val="left" w:pos="851"/>
        </w:tabs>
        <w:ind w:left="0"/>
        <w:jc w:val="both"/>
      </w:pPr>
      <w:r w:rsidRPr="004436FA">
        <w:t>навязывание покупателю условий договора, невыгодных для него или не относящихся к предмету договора (пункт 3 части 1 статьи 10 Закона</w:t>
      </w:r>
      <w:r>
        <w:t xml:space="preserve"> о защите конкуренции</w:t>
      </w:r>
      <w:r w:rsidRPr="004436FA">
        <w:t>);</w:t>
      </w:r>
      <w:bookmarkStart w:id="31" w:name="sub_100104"/>
    </w:p>
    <w:p w:rsidR="00DB066E" w:rsidRPr="004436FA" w:rsidRDefault="00DB066E" w:rsidP="00DB066E">
      <w:pPr>
        <w:pStyle w:val="ConsPlusNormal"/>
        <w:numPr>
          <w:ilvl w:val="0"/>
          <w:numId w:val="42"/>
        </w:numPr>
        <w:tabs>
          <w:tab w:val="left" w:pos="851"/>
        </w:tabs>
        <w:ind w:left="0"/>
        <w:jc w:val="both"/>
      </w:pPr>
      <w:bookmarkStart w:id="32" w:name="sub_100105"/>
      <w:bookmarkEnd w:id="31"/>
      <w:r w:rsidRPr="004436FA">
        <w:t>экономически или технологически не обоснованные отказ либо уклонение от заключения договора (пункт 5 части 1 статьи 10 Закона</w:t>
      </w:r>
      <w:r>
        <w:t xml:space="preserve"> о защите конкуренции</w:t>
      </w:r>
      <w:r w:rsidRPr="004436FA">
        <w:t>);</w:t>
      </w:r>
      <w:bookmarkEnd w:id="32"/>
    </w:p>
    <w:p w:rsidR="00DB066E" w:rsidRPr="004436FA" w:rsidRDefault="00DB066E" w:rsidP="00DB066E">
      <w:pPr>
        <w:pStyle w:val="ConsPlusNormal"/>
        <w:numPr>
          <w:ilvl w:val="0"/>
          <w:numId w:val="42"/>
        </w:numPr>
        <w:tabs>
          <w:tab w:val="left" w:pos="851"/>
        </w:tabs>
        <w:ind w:left="0"/>
        <w:jc w:val="both"/>
      </w:pPr>
      <w:r w:rsidRPr="004436FA">
        <w:t>установление доминирующим хозяйствующим субъектом монопольно низкой цены товара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установление финансовой организацией необоснованно низкой цены финансовой услуги (пункт 7 части 1 статьи 10 Закона</w:t>
      </w:r>
      <w:r>
        <w:t xml:space="preserve"> о защите конкуренции</w:t>
      </w:r>
      <w:r w:rsidRPr="004436FA">
        <w:t>);</w:t>
      </w:r>
      <w:bookmarkStart w:id="33" w:name="sub_100108"/>
    </w:p>
    <w:p w:rsidR="00DB066E" w:rsidRPr="004436FA" w:rsidRDefault="00DB066E" w:rsidP="00DB066E">
      <w:pPr>
        <w:pStyle w:val="ConsPlusNormal"/>
        <w:numPr>
          <w:ilvl w:val="0"/>
          <w:numId w:val="42"/>
        </w:numPr>
        <w:tabs>
          <w:tab w:val="left" w:pos="851"/>
        </w:tabs>
        <w:ind w:left="0"/>
        <w:jc w:val="both"/>
      </w:pPr>
      <w:r w:rsidRPr="004436FA">
        <w:t>создание дискриминационных условий (пункт 8 части 1 статьи 10 Закона</w:t>
      </w:r>
      <w:r>
        <w:t xml:space="preserve"> о защите конкуренции</w:t>
      </w:r>
      <w:r w:rsidRPr="004436FA">
        <w:t>);</w:t>
      </w:r>
      <w:bookmarkStart w:id="34" w:name="sub_100109"/>
      <w:bookmarkEnd w:id="33"/>
    </w:p>
    <w:p w:rsidR="00DB066E" w:rsidRPr="004436FA" w:rsidRDefault="00DB066E" w:rsidP="00DB066E">
      <w:pPr>
        <w:pStyle w:val="ConsPlusNormal"/>
        <w:numPr>
          <w:ilvl w:val="0"/>
          <w:numId w:val="42"/>
        </w:numPr>
        <w:tabs>
          <w:tab w:val="left" w:pos="851"/>
        </w:tabs>
        <w:ind w:left="0"/>
        <w:jc w:val="both"/>
      </w:pPr>
      <w:r w:rsidRPr="004436FA">
        <w:t>создание препятствий доступу на товарный рынок или выходу из товарного рынка другим хозяйствующим субъектам (пункт 9 части 1 статьи 10 Закона</w:t>
      </w:r>
      <w:r>
        <w:t xml:space="preserve"> о защите конкуренции</w:t>
      </w:r>
      <w:r w:rsidRPr="004436FA">
        <w:t>);</w:t>
      </w:r>
      <w:bookmarkEnd w:id="34"/>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установлению или поддержанию монопольно низких цен (тарифов)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 xml:space="preserve">соглашения между хозяйствующими субъектами </w:t>
      </w:r>
      <w:bookmarkStart w:id="35" w:name="sub_171127"/>
      <w:r w:rsidRPr="004436FA">
        <w:t>о создании другим хозяйствующим субъектам препятствий доступу на товарный рынок или выходу из товарного рынка</w:t>
      </w:r>
      <w:r>
        <w:t xml:space="preserve"> (пункт 3 части 4 статьи 11 Закона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bookmarkStart w:id="36" w:name="sub_171128"/>
      <w:bookmarkEnd w:id="35"/>
      <w:r w:rsidRPr="004436FA">
        <w:t>соглашения между хозяйствующими субъектами об установлении условий членства (участия) в профессиональных и иных объединениях</w:t>
      </w:r>
      <w:r>
        <w:t xml:space="preserve"> (пункт 4 части 4 статьи 11 Закона о защите конкуренции);</w:t>
      </w:r>
    </w:p>
    <w:bookmarkEnd w:id="36"/>
    <w:p w:rsidR="00DB066E" w:rsidRPr="004436FA" w:rsidRDefault="00DB066E" w:rsidP="00DB066E">
      <w:pPr>
        <w:pStyle w:val="ConsPlusNormal"/>
        <w:numPr>
          <w:ilvl w:val="0"/>
          <w:numId w:val="42"/>
        </w:numPr>
        <w:tabs>
          <w:tab w:val="left" w:pos="851"/>
        </w:tabs>
        <w:ind w:left="0"/>
        <w:jc w:val="both"/>
      </w:pPr>
      <w:r w:rsidRPr="004436FA">
        <w:t xml:space="preserve">согласованные </w:t>
      </w:r>
      <w:bookmarkStart w:id="37" w:name="sub_171140"/>
      <w:r w:rsidRPr="004436FA">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согласованные действия, которые привели</w:t>
      </w:r>
      <w:bookmarkStart w:id="38" w:name="sub_171143"/>
      <w:r w:rsidRPr="004436FA">
        <w:t xml:space="preserve"> к навязыванию контрагенту условий договора, невыгодных для него или не относящихся к предмету договора </w:t>
      </w:r>
      <w:bookmarkEnd w:id="38"/>
      <w:r w:rsidRPr="004436FA">
        <w:t>(пункт 2 части 3 статьи 11.1 Закона</w:t>
      </w:r>
      <w:r>
        <w:t xml:space="preserve"> о защите конкуренции</w:t>
      </w:r>
      <w:r w:rsidRPr="004436FA">
        <w:t xml:space="preserve">); </w:t>
      </w:r>
      <w:bookmarkEnd w:id="37"/>
    </w:p>
    <w:p w:rsidR="00DB066E" w:rsidRPr="004436FA" w:rsidRDefault="00DB066E" w:rsidP="00DB066E">
      <w:pPr>
        <w:pStyle w:val="ConsPlusNormal"/>
        <w:numPr>
          <w:ilvl w:val="0"/>
          <w:numId w:val="42"/>
        </w:numPr>
        <w:tabs>
          <w:tab w:val="left" w:pos="851"/>
        </w:tabs>
        <w:ind w:left="0"/>
        <w:jc w:val="both"/>
      </w:pPr>
      <w:r w:rsidRPr="004436FA">
        <w:t>недобросовестная конкуренция (статья 14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снижение цен (тарифов)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4.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55400C" w:rsidRDefault="00DB066E" w:rsidP="00DB066E">
      <w:pPr>
        <w:pStyle w:val="2"/>
        <w:spacing w:before="0" w:line="240" w:lineRule="auto"/>
        <w:ind w:firstLine="709"/>
        <w:jc w:val="both"/>
        <w:rPr>
          <w:rFonts w:ascii="Times New Roman" w:hAnsi="Times New Roman"/>
          <w:color w:val="auto"/>
          <w:sz w:val="28"/>
          <w:szCs w:val="28"/>
        </w:rPr>
      </w:pPr>
      <w:bookmarkStart w:id="39" w:name="_Ref406683353"/>
      <w:bookmarkStart w:id="40" w:name="_Ref438205740"/>
      <w:bookmarkStart w:id="41" w:name="_Ref438205755"/>
      <w:bookmarkStart w:id="42" w:name="_Toc487536224"/>
      <w:r w:rsidRPr="004436FA">
        <w:rPr>
          <w:rFonts w:ascii="Times New Roman" w:hAnsi="Times New Roman"/>
          <w:color w:val="auto"/>
          <w:sz w:val="28"/>
          <w:szCs w:val="28"/>
        </w:rPr>
        <w:t>2.2. Аналитические подходы, используемые для проведения контрфактуального анализа</w:t>
      </w:r>
      <w:bookmarkEnd w:id="39"/>
      <w:r w:rsidRPr="004436FA">
        <w:rPr>
          <w:rFonts w:ascii="Times New Roman" w:hAnsi="Times New Roman"/>
          <w:color w:val="auto"/>
          <w:sz w:val="28"/>
          <w:szCs w:val="28"/>
        </w:rPr>
        <w:t>.</w:t>
      </w:r>
      <w:bookmarkEnd w:id="40"/>
      <w:bookmarkEnd w:id="41"/>
      <w:bookmarkEnd w:id="42"/>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антиконкурентном </w:t>
      </w:r>
      <w:r>
        <w:rPr>
          <w:rFonts w:ascii="Times New Roman" w:hAnsi="Times New Roman" w:cs="Times New Roman"/>
          <w:sz w:val="28"/>
          <w:szCs w:val="28"/>
        </w:rPr>
        <w:t>соглашении</w:t>
      </w:r>
      <w:r w:rsidRPr="004436FA">
        <w:rPr>
          <w:rFonts w:ascii="Times New Roman" w:hAnsi="Times New Roman" w:cs="Times New Roman"/>
          <w:sz w:val="28"/>
          <w:szCs w:val="28"/>
        </w:rPr>
        <w:t xml:space="preserve">,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свидетельства подобного рода нечасто имеются на практике. В таких случаях особенно высока роль аналитических методов, позволяющих провести контрфактуальный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(контрфактуальный анал</w:t>
      </w:r>
      <w:r>
        <w:rPr>
          <w:rFonts w:ascii="Times New Roman" w:hAnsi="Times New Roman" w:cs="Times New Roman"/>
          <w:sz w:val="28"/>
          <w:szCs w:val="28"/>
        </w:rPr>
        <w:t>из):</w:t>
      </w:r>
    </w:p>
    <w:p w:rsidR="00DB066E" w:rsidRPr="004436FA" w:rsidRDefault="00DB066E" w:rsidP="00DB066E">
      <w:pPr>
        <w:pStyle w:val="ConsPlusNormal"/>
        <w:numPr>
          <w:ilvl w:val="0"/>
          <w:numId w:val="43"/>
        </w:numPr>
        <w:tabs>
          <w:tab w:val="left" w:pos="851"/>
        </w:tabs>
        <w:ind w:left="0"/>
        <w:jc w:val="both"/>
      </w:pPr>
      <w:r w:rsidRPr="004436FA">
        <w:t>Сравнительный экономический анализ.</w:t>
      </w:r>
    </w:p>
    <w:p w:rsidR="00DB066E" w:rsidRDefault="00DB066E" w:rsidP="00DB066E">
      <w:pPr>
        <w:pStyle w:val="ConsPlusNormal"/>
        <w:numPr>
          <w:ilvl w:val="0"/>
          <w:numId w:val="43"/>
        </w:numPr>
        <w:tabs>
          <w:tab w:val="left" w:pos="851"/>
        </w:tabs>
        <w:ind w:left="0"/>
        <w:jc w:val="both"/>
      </w:pPr>
      <w:r w:rsidRPr="004436FA">
        <w:t>Экономическое и финансовое моделирование.</w:t>
      </w:r>
    </w:p>
    <w:p w:rsidR="00DB066E" w:rsidRPr="00304B8F" w:rsidRDefault="00DB066E" w:rsidP="00DB066E">
      <w:pPr>
        <w:pStyle w:val="ConsPlusNormal"/>
        <w:tabs>
          <w:tab w:val="left" w:pos="851"/>
        </w:tabs>
        <w:jc w:val="both"/>
        <w:rPr>
          <w:sz w:val="20"/>
          <w:szCs w:val="20"/>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43" w:name="_Toc487536225"/>
      <w:r w:rsidRPr="004436FA">
        <w:rPr>
          <w:rFonts w:ascii="Times New Roman" w:hAnsi="Times New Roman"/>
          <w:color w:val="auto"/>
          <w:sz w:val="28"/>
          <w:szCs w:val="28"/>
        </w:rPr>
        <w:t>2.2.1. Сравнительный экономический анализ.</w:t>
      </w:r>
      <w:bookmarkEnd w:id="43"/>
    </w:p>
    <w:p w:rsidR="00DB066E" w:rsidRPr="004436FA" w:rsidRDefault="00DB066E" w:rsidP="00DB066E">
      <w:pPr>
        <w:pStyle w:val="RBBBodytext"/>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B066E" w:rsidRPr="004436FA" w:rsidRDefault="00DB066E" w:rsidP="00DB066E">
      <w:pPr>
        <w:pStyle w:val="ConsPlusNormal"/>
        <w:numPr>
          <w:ilvl w:val="0"/>
          <w:numId w:val="44"/>
        </w:numPr>
        <w:tabs>
          <w:tab w:val="left" w:pos="851"/>
        </w:tabs>
        <w:ind w:left="0"/>
        <w:jc w:val="both"/>
      </w:pPr>
      <w:r w:rsidRPr="004436FA">
        <w:t>до начала и/или после прекращения нарушения на рассматриваемом рынке;</w:t>
      </w:r>
    </w:p>
    <w:p w:rsidR="00DB066E" w:rsidRPr="004436FA" w:rsidRDefault="00DB066E" w:rsidP="00DB066E">
      <w:pPr>
        <w:pStyle w:val="ConsPlusNormal"/>
        <w:numPr>
          <w:ilvl w:val="0"/>
          <w:numId w:val="44"/>
        </w:numPr>
        <w:tabs>
          <w:tab w:val="left" w:pos="851"/>
        </w:tabs>
        <w:ind w:left="0"/>
        <w:jc w:val="both"/>
      </w:pPr>
      <w:r w:rsidRPr="004436FA">
        <w:t>на ином, но сопоставимом продуктовом и/или географическом рынке (в разные промежутки времени).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наличии должного экономического обоснования разные эталоны сравнения </w:t>
      </w:r>
      <w:r>
        <w:rPr>
          <w:rFonts w:ascii="Times New Roman" w:hAnsi="Times New Roman" w:cs="Times New Roman"/>
          <w:sz w:val="28"/>
          <w:szCs w:val="28"/>
        </w:rPr>
        <w:t>(«до и после», «на ином рынке»</w:t>
      </w:r>
      <w:r w:rsidRPr="004436FA">
        <w:rPr>
          <w:rFonts w:ascii="Times New Roman" w:hAnsi="Times New Roman" w:cs="Times New Roman"/>
          <w:sz w:val="28"/>
          <w:szCs w:val="28"/>
        </w:rPr>
        <w:t xml:space="preserve">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Логика сравнительного экономического </w:t>
      </w:r>
      <w:r w:rsidRPr="004436FA">
        <w:rPr>
          <w:rFonts w:ascii="Times New Roman" w:hAnsi="Times New Roman" w:cs="Times New Roman"/>
          <w:color w:val="000000"/>
          <w:sz w:val="28"/>
          <w:szCs w:val="28"/>
        </w:rPr>
        <w:t xml:space="preserve">анализа основывается на том, что для проведения контрфактуального анализа используются </w:t>
      </w:r>
      <w:r w:rsidRPr="004436FA">
        <w:rPr>
          <w:rFonts w:ascii="Times New Roman" w:hAnsi="Times New Roman" w:cs="Times New Roman"/>
          <w:i/>
          <w:color w:val="000000"/>
          <w:sz w:val="28"/>
          <w:szCs w:val="28"/>
          <w:u w:val="single"/>
        </w:rPr>
        <w:t>фактические данные</w:t>
      </w:r>
      <w:r w:rsidRPr="004436FA">
        <w:rPr>
          <w:rFonts w:ascii="Times New Roman" w:hAnsi="Times New Roman" w:cs="Times New Roman"/>
          <w:color w:val="000000"/>
          <w:sz w:val="28"/>
          <w:szCs w:val="28"/>
        </w:rPr>
        <w:t xml:space="preserve"> на сопоставимых рынках или на том же рынке, но в сопоставимой ситуации (</w:t>
      </w:r>
      <w:r>
        <w:rPr>
          <w:rFonts w:ascii="Times New Roman" w:hAnsi="Times New Roman" w:cs="Times New Roman"/>
          <w:color w:val="000000"/>
          <w:sz w:val="28"/>
          <w:szCs w:val="28"/>
        </w:rPr>
        <w:t>например</w:t>
      </w:r>
      <w:r w:rsidRPr="004436FA">
        <w:rPr>
          <w:rFonts w:ascii="Times New Roman" w:hAnsi="Times New Roman" w:cs="Times New Roman"/>
          <w:color w:val="000000"/>
          <w:sz w:val="28"/>
          <w:szCs w:val="28"/>
        </w:rPr>
        <w:t>,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w:t>
      </w:r>
      <w:r w:rsidRPr="004436FA">
        <w:rPr>
          <w:rStyle w:val="ab"/>
          <w:rFonts w:ascii="Times New Roman" w:hAnsi="Times New Roman" w:cs="Times New Roman"/>
          <w:color w:val="000000"/>
          <w:sz w:val="28"/>
          <w:szCs w:val="28"/>
        </w:rPr>
        <w:footnoteReference w:id="21"/>
      </w:r>
      <w:r w:rsidRPr="004436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Указанное</w:t>
      </w:r>
      <w:r w:rsidRPr="004436FA">
        <w:rPr>
          <w:rFonts w:ascii="Times New Roman" w:hAnsi="Times New Roman" w:cs="Times New Roman"/>
          <w:color w:val="000000"/>
          <w:sz w:val="28"/>
          <w:szCs w:val="28"/>
        </w:rPr>
        <w:t xml:space="preserve"> означает, что при проведении </w:t>
      </w:r>
      <w:r w:rsidRPr="004436FA">
        <w:rPr>
          <w:rFonts w:ascii="Times New Roman" w:hAnsi="Times New Roman" w:cs="Times New Roman"/>
          <w:sz w:val="28"/>
          <w:szCs w:val="28"/>
        </w:rPr>
        <w:t xml:space="preserve">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xml:space="preserve">.),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«до и после»</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w:t>
      </w:r>
      <w:r>
        <w:rPr>
          <w:rFonts w:ascii="Times New Roman" w:hAnsi="Times New Roman" w:cs="Times New Roman"/>
          <w:sz w:val="28"/>
          <w:szCs w:val="28"/>
        </w:rPr>
        <w:t>например</w:t>
      </w:r>
      <w:r w:rsidRPr="004436FA">
        <w:rPr>
          <w:rFonts w:ascii="Times New Roman" w:hAnsi="Times New Roman" w:cs="Times New Roman"/>
          <w:sz w:val="28"/>
          <w:szCs w:val="28"/>
        </w:rPr>
        <w:t xml:space="preserve">,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w:t>
      </w:r>
      <w:r w:rsidRPr="004436FA">
        <w:rPr>
          <w:rFonts w:ascii="Times New Roman" w:hAnsi="Times New Roman" w:cs="Times New Roman"/>
          <w:color w:val="000000"/>
          <w:sz w:val="28"/>
          <w:szCs w:val="28"/>
        </w:rPr>
        <w:t xml:space="preserve">строится прогноз на основе прошлых показателей и предположений об их динамике. Данный подход называется </w:t>
      </w:r>
      <w:r w:rsidRPr="004436FA">
        <w:rPr>
          <w:rFonts w:ascii="Times New Roman" w:hAnsi="Times New Roman" w:cs="Times New Roman"/>
          <w:i/>
          <w:color w:val="000000"/>
          <w:sz w:val="28"/>
          <w:szCs w:val="28"/>
          <w:u w:val="single"/>
        </w:rPr>
        <w:t>экстраполяцией данных</w:t>
      </w:r>
      <w:r w:rsidRPr="004436FA">
        <w:rPr>
          <w:rFonts w:ascii="Times New Roman" w:hAnsi="Times New Roman" w:cs="Times New Roman"/>
          <w:color w:val="000000"/>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color w:val="000000"/>
          <w:sz w:val="28"/>
          <w:szCs w:val="28"/>
        </w:rPr>
        <w:t>др</w:t>
      </w:r>
      <w:r w:rsidRPr="004436FA">
        <w:rPr>
          <w:rFonts w:ascii="Times New Roman" w:hAnsi="Times New Roman" w:cs="Times New Roman"/>
          <w:color w:val="000000"/>
          <w:sz w:val="28"/>
          <w:szCs w:val="28"/>
        </w:rPr>
        <w:t xml:space="preserve">.), имевшие место как до, так и после периода нарушения, то при прочих равных условиях </w:t>
      </w:r>
      <w:r>
        <w:rPr>
          <w:rFonts w:ascii="Times New Roman" w:hAnsi="Times New Roman" w:cs="Times New Roman"/>
          <w:color w:val="000000"/>
          <w:sz w:val="28"/>
          <w:szCs w:val="28"/>
        </w:rPr>
        <w:t>можно</w:t>
      </w:r>
      <w:r w:rsidRPr="004436FA">
        <w:rPr>
          <w:rFonts w:ascii="Times New Roman" w:hAnsi="Times New Roman" w:cs="Times New Roman"/>
          <w:color w:val="000000"/>
          <w:sz w:val="28"/>
          <w:szCs w:val="28"/>
        </w:rPr>
        <w:t xml:space="preserve">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w:t>
      </w:r>
      <w:r w:rsidRPr="004436FA">
        <w:rPr>
          <w:rFonts w:ascii="Times New Roman" w:hAnsi="Times New Roman" w:cs="Times New Roman"/>
          <w:i/>
          <w:color w:val="000000"/>
          <w:sz w:val="28"/>
          <w:szCs w:val="28"/>
          <w:u w:val="single"/>
        </w:rPr>
        <w:t>интерполяцией данных</w:t>
      </w:r>
      <w:r w:rsidRPr="004436FA">
        <w:rPr>
          <w:rFonts w:ascii="Times New Roman" w:hAnsi="Times New Roman" w:cs="Times New Roman"/>
          <w:color w:val="000000"/>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Простейшим вариантом интерполяции является </w:t>
      </w:r>
      <w:r w:rsidRPr="004436FA">
        <w:rPr>
          <w:rFonts w:ascii="Times New Roman" w:hAnsi="Times New Roman" w:cs="Times New Roman"/>
          <w:i/>
          <w:color w:val="000000"/>
          <w:sz w:val="28"/>
          <w:szCs w:val="28"/>
          <w:u w:val="single"/>
        </w:rPr>
        <w:t>линейная интерполяция</w:t>
      </w:r>
      <w:r w:rsidRPr="004436FA">
        <w:rPr>
          <w:rFonts w:ascii="Times New Roman" w:hAnsi="Times New Roman" w:cs="Times New Roman"/>
          <w:color w:val="000000"/>
          <w:sz w:val="28"/>
          <w:szCs w:val="28"/>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w:t>
      </w:r>
      <w:r w:rsidRPr="004436FA">
        <w:rPr>
          <w:rFonts w:ascii="Times New Roman" w:hAnsi="Times New Roman" w:cs="Times New Roman"/>
          <w:i/>
          <w:color w:val="000000"/>
          <w:sz w:val="28"/>
          <w:szCs w:val="28"/>
          <w:u w:val="single"/>
        </w:rPr>
        <w:t>экспоненциальная интерполяция</w:t>
      </w:r>
      <w:r w:rsidRPr="004436FA">
        <w:rPr>
          <w:rFonts w:ascii="Times New Roman" w:hAnsi="Times New Roman" w:cs="Times New Roman"/>
          <w:color w:val="000000"/>
          <w:sz w:val="28"/>
          <w:szCs w:val="28"/>
        </w:rPr>
        <w:t>, при которой предполагается постоянный темп роста (снижения) исследуемого показателя.</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Экстраполяция и интерполяция цен</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27AE3C6D" wp14:editId="6250E75B">
            <wp:extent cx="2520315" cy="2520315"/>
            <wp:effectExtent l="0" t="0" r="0" b="0"/>
            <wp:docPr id="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4436FA">
        <w:rPr>
          <w:rFonts w:ascii="Times New Roman" w:hAnsi="Times New Roman" w:cs="Times New Roman"/>
          <w:noProof/>
          <w:sz w:val="28"/>
          <w:szCs w:val="28"/>
        </w:rPr>
        <w:drawing>
          <wp:inline distT="0" distB="0" distL="0" distR="0" wp14:anchorId="54C86C05" wp14:editId="27E4CD1E">
            <wp:extent cx="2520315" cy="2520315"/>
            <wp:effectExtent l="0" t="0" r="0" b="0"/>
            <wp:docPr id="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левом графике представлена ситуация, когда ценовой сговор имел место в 2010</w:t>
      </w:r>
      <w:r>
        <w:rPr>
          <w:rFonts w:ascii="Times New Roman" w:hAnsi="Times New Roman" w:cs="Times New Roman"/>
          <w:sz w:val="28"/>
          <w:szCs w:val="28"/>
        </w:rPr>
        <w:t>-2014 гг. При этом</w:t>
      </w:r>
      <w:r w:rsidRPr="004436FA">
        <w:rPr>
          <w:rFonts w:ascii="Times New Roman" w:hAnsi="Times New Roman" w:cs="Times New Roman"/>
          <w:sz w:val="28"/>
          <w:szCs w:val="28"/>
        </w:rPr>
        <w:t xml:space="preserve"> данные по ценам, которые установились на рынке после окончания ценового сговора, отсутствуют. Учитывая, что в 2005-2009 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 (</w:t>
      </w:r>
      <w:r>
        <w:rPr>
          <w:rFonts w:ascii="Times New Roman" w:hAnsi="Times New Roman" w:cs="Times New Roman"/>
          <w:sz w:val="28"/>
          <w:szCs w:val="28"/>
        </w:rPr>
        <w:t>например</w:t>
      </w:r>
      <w:r w:rsidRPr="004436FA">
        <w:rPr>
          <w:rFonts w:ascii="Times New Roman" w:hAnsi="Times New Roman" w:cs="Times New Roman"/>
          <w:sz w:val="28"/>
          <w:szCs w:val="28"/>
        </w:rPr>
        <w:t>, 10 руб./ед.).</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2012-2014 гг. предполагается, что при отсутствии нарушения цена бы постепенно увеличивалась с 10 до 12 руб./ед.</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w:t>
      </w:r>
      <w:r>
        <w:rPr>
          <w:rFonts w:ascii="Times New Roman" w:hAnsi="Times New Roman" w:cs="Times New Roman"/>
          <w:sz w:val="28"/>
          <w:szCs w:val="28"/>
        </w:rPr>
        <w:t>В случае</w:t>
      </w:r>
      <w:r w:rsidRPr="004436FA">
        <w:rPr>
          <w:rFonts w:ascii="Times New Roman" w:hAnsi="Times New Roman" w:cs="Times New Roman"/>
          <w:sz w:val="28"/>
          <w:szCs w:val="28"/>
        </w:rPr>
        <w:t>,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w:t>
      </w:r>
      <w:r>
        <w:rPr>
          <w:rFonts w:ascii="Times New Roman" w:hAnsi="Times New Roman" w:cs="Times New Roman"/>
          <w:sz w:val="28"/>
          <w:szCs w:val="28"/>
        </w:rPr>
        <w:t>нерелевантным</w:t>
      </w:r>
      <w:r w:rsidRPr="004436FA">
        <w:rPr>
          <w:rFonts w:ascii="Times New Roman" w:hAnsi="Times New Roman" w:cs="Times New Roman"/>
          <w:sz w:val="28"/>
          <w:szCs w:val="28"/>
        </w:rPr>
        <w:t xml:space="preserve">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сопоставимых рынков</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Исследуемые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DB066E" w:rsidRPr="004436FA" w:rsidRDefault="00DB066E" w:rsidP="00DB066E">
      <w:pPr>
        <w:pStyle w:val="ConsPlusNormal"/>
        <w:numPr>
          <w:ilvl w:val="0"/>
          <w:numId w:val="45"/>
        </w:numPr>
        <w:tabs>
          <w:tab w:val="left" w:pos="851"/>
        </w:tabs>
        <w:ind w:left="0"/>
        <w:jc w:val="both"/>
      </w:pPr>
      <w:r w:rsidRPr="004436FA">
        <w:t>рынок исследуемого товара (услуги), но с другими географическими границами;</w:t>
      </w:r>
    </w:p>
    <w:p w:rsidR="00DB066E" w:rsidRPr="004436FA" w:rsidRDefault="00DB066E" w:rsidP="00DB066E">
      <w:pPr>
        <w:pStyle w:val="ConsPlusNormal"/>
        <w:numPr>
          <w:ilvl w:val="0"/>
          <w:numId w:val="45"/>
        </w:numPr>
        <w:tabs>
          <w:tab w:val="left" w:pos="851"/>
        </w:tabs>
        <w:ind w:left="0"/>
        <w:jc w:val="both"/>
      </w:pPr>
      <w:r w:rsidRPr="004436FA">
        <w:t>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сравнении экономических показателей на исследуемом рынке в период нарушения с аналогичными показателями на других</w:t>
      </w:r>
      <w:r>
        <w:rPr>
          <w:rFonts w:ascii="Times New Roman" w:hAnsi="Times New Roman" w:cs="Times New Roman"/>
          <w:sz w:val="28"/>
          <w:szCs w:val="28"/>
        </w:rPr>
        <w:t>, предположительно сопоставимых</w:t>
      </w:r>
      <w:r w:rsidRPr="004436FA">
        <w:rPr>
          <w:rFonts w:ascii="Times New Roman" w:hAnsi="Times New Roman" w:cs="Times New Roman"/>
          <w:sz w:val="28"/>
          <w:szCs w:val="28"/>
        </w:rPr>
        <w:t xml:space="preserve">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w:t>
      </w:r>
      <w:r>
        <w:rPr>
          <w:rFonts w:ascii="Times New Roman" w:hAnsi="Times New Roman" w:cs="Times New Roman"/>
          <w:sz w:val="28"/>
          <w:szCs w:val="28"/>
        </w:rPr>
        <w:t>,</w:t>
      </w:r>
      <w:r w:rsidRPr="004436FA">
        <w:rPr>
          <w:rFonts w:ascii="Times New Roman" w:hAnsi="Times New Roman" w:cs="Times New Roman"/>
          <w:sz w:val="28"/>
          <w:szCs w:val="28"/>
        </w:rPr>
        <w:t xml:space="preserve"> способности платить и </w:t>
      </w:r>
      <w:r>
        <w:rPr>
          <w:rFonts w:ascii="Times New Roman" w:hAnsi="Times New Roman" w:cs="Times New Roman"/>
          <w:sz w:val="28"/>
          <w:szCs w:val="28"/>
        </w:rPr>
        <w:t>др</w:t>
      </w:r>
      <w:r w:rsidRPr="004436FA">
        <w:rPr>
          <w:rFonts w:ascii="Times New Roman" w:hAnsi="Times New Roman" w:cs="Times New Roman"/>
          <w:sz w:val="28"/>
          <w:szCs w:val="28"/>
        </w:rPr>
        <w:t xml:space="preserve">.), так и в плане  предложения (издержек, тарифов, наценок и </w:t>
      </w:r>
      <w:r>
        <w:rPr>
          <w:rFonts w:ascii="Times New Roman" w:hAnsi="Times New Roman" w:cs="Times New Roman"/>
          <w:sz w:val="28"/>
          <w:szCs w:val="28"/>
        </w:rPr>
        <w:t>др</w:t>
      </w:r>
      <w:r w:rsidRPr="004436FA">
        <w:rPr>
          <w:rFonts w:ascii="Times New Roman" w:hAnsi="Times New Roman" w:cs="Times New Roman"/>
          <w:sz w:val="28"/>
          <w:szCs w:val="28"/>
        </w:rPr>
        <w:t xml:space="preserve">.). Во-вторых, должна иметь место сопоставимость в отношении структуры рынка/отрасли и степени конкурентной борьбы.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нарушение имело место на </w:t>
      </w:r>
      <w:r>
        <w:rPr>
          <w:rFonts w:ascii="Times New Roman" w:hAnsi="Times New Roman" w:cs="Times New Roman"/>
          <w:sz w:val="28"/>
          <w:szCs w:val="28"/>
        </w:rPr>
        <w:t>высоко</w:t>
      </w:r>
      <w:r w:rsidRPr="004436FA">
        <w:rPr>
          <w:rFonts w:ascii="Times New Roman" w:hAnsi="Times New Roman" w:cs="Times New Roman"/>
          <w:sz w:val="28"/>
          <w:szCs w:val="28"/>
        </w:rPr>
        <w:t xml:space="preserve"> концентрированном рынке, то было бы ошибочно 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вставку «Метод разностей»).</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4" w:name="_Ref405282760"/>
      <w:r w:rsidRPr="004436FA">
        <w:rPr>
          <w:rFonts w:ascii="Times New Roman" w:hAnsi="Times New Roman" w:cs="Times New Roman"/>
          <w:b/>
          <w:sz w:val="28"/>
          <w:szCs w:val="28"/>
        </w:rPr>
        <w:t>Аналитические (эконометрические) методы, применяемые для анализа сопоставимых рынков и анализа «до и после»</w:t>
      </w:r>
      <w:bookmarkEnd w:id="44"/>
    </w:p>
    <w:p w:rsidR="00DB066E" w:rsidRPr="004436FA" w:rsidRDefault="00DB066E" w:rsidP="00DB066E">
      <w:pPr>
        <w:pStyle w:val="RBBBodytext"/>
        <w:spacing w:before="0" w:after="0" w:line="240" w:lineRule="auto"/>
        <w:jc w:val="center"/>
        <w:rPr>
          <w:rFonts w:ascii="Times New Roman" w:hAnsi="Times New Roman" w:cs="Times New Roman"/>
          <w:b/>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w:t>
      </w:r>
      <w:r>
        <w:rPr>
          <w:rFonts w:ascii="Times New Roman" w:hAnsi="Times New Roman" w:cs="Times New Roman"/>
          <w:sz w:val="28"/>
          <w:szCs w:val="28"/>
        </w:rPr>
        <w:t>В случае</w:t>
      </w:r>
      <w:r w:rsidRPr="004436FA">
        <w:rPr>
          <w:rFonts w:ascii="Times New Roman" w:hAnsi="Times New Roman" w:cs="Times New Roman"/>
          <w:sz w:val="28"/>
          <w:szCs w:val="28"/>
        </w:rPr>
        <w:t>,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w:t>
      </w:r>
      <w:r w:rsidRPr="004436FA">
        <w:rPr>
          <w:rStyle w:val="ab"/>
          <w:rFonts w:ascii="Times New Roman" w:hAnsi="Times New Roman" w:cs="Times New Roman"/>
          <w:sz w:val="28"/>
          <w:szCs w:val="28"/>
        </w:rPr>
        <w:footnoteReference w:id="2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Использование эконометрических методов</w:t>
      </w:r>
      <w:r w:rsidRPr="004436FA" w:rsidDel="001F1A97">
        <w:rPr>
          <w:rFonts w:ascii="Times New Roman" w:hAnsi="Times New Roman" w:cs="Times New Roman"/>
          <w:sz w:val="28"/>
          <w:szCs w:val="28"/>
        </w:rPr>
        <w:t xml:space="preserve"> </w:t>
      </w:r>
      <w:r w:rsidRPr="004436FA">
        <w:rPr>
          <w:rFonts w:ascii="Times New Roman" w:hAnsi="Times New Roman" w:cs="Times New Roman"/>
          <w:sz w:val="28"/>
          <w:szCs w:val="28"/>
        </w:rPr>
        <w:t>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Например</w:t>
      </w:r>
      <w:r w:rsidRPr="004436FA">
        <w:rPr>
          <w:rFonts w:ascii="Times New Roman" w:hAnsi="Times New Roman" w:cs="Times New Roman"/>
          <w:sz w:val="28"/>
          <w:szCs w:val="28"/>
        </w:rPr>
        <w:t xml:space="preserve">, путем сравнения экономических показателей на рассматриваемом рынке до периода нарушения с экономическими показателями </w:t>
      </w:r>
      <w:r>
        <w:rPr>
          <w:rFonts w:ascii="Times New Roman" w:hAnsi="Times New Roman" w:cs="Times New Roman"/>
          <w:sz w:val="28"/>
          <w:szCs w:val="28"/>
        </w:rPr>
        <w:t>на сопоставимом товарном рынке</w:t>
      </w:r>
      <w:r w:rsidRPr="004436FA">
        <w:rPr>
          <w:rFonts w:ascii="Times New Roman" w:hAnsi="Times New Roman" w:cs="Times New Roman"/>
          <w:sz w:val="28"/>
          <w:szCs w:val="28"/>
        </w:rPr>
        <w:t xml:space="preserve"> можно установить относительную разницу в этих показателях между двумя рынками. В некоторых случаях </w:t>
      </w:r>
      <w:r>
        <w:rPr>
          <w:rFonts w:ascii="Times New Roman" w:hAnsi="Times New Roman" w:cs="Times New Roman"/>
          <w:sz w:val="28"/>
          <w:szCs w:val="28"/>
        </w:rPr>
        <w:t>можно</w:t>
      </w:r>
      <w:r w:rsidRPr="004436FA">
        <w:rPr>
          <w:rFonts w:ascii="Times New Roman" w:hAnsi="Times New Roman" w:cs="Times New Roman"/>
          <w:sz w:val="28"/>
          <w:szCs w:val="28"/>
        </w:rPr>
        <w:t xml:space="preserve">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w:t>
      </w:r>
      <w:r w:rsidRPr="004436FA">
        <w:rPr>
          <w:rStyle w:val="ab"/>
          <w:rFonts w:ascii="Times New Roman" w:hAnsi="Times New Roman" w:cs="Times New Roman"/>
          <w:sz w:val="28"/>
          <w:szCs w:val="28"/>
        </w:rPr>
        <w:footnoteReference w:id="23"/>
      </w:r>
      <w:r w:rsidRPr="004436FA">
        <w:rPr>
          <w:rFonts w:ascii="Times New Roman" w:hAnsi="Times New Roman" w:cs="Times New Roman"/>
          <w:sz w:val="28"/>
          <w:szCs w:val="28"/>
          <w:vertAlign w:val="superscript"/>
        </w:rPr>
        <w:t xml:space="preserve"> </w:t>
      </w:r>
      <w:r w:rsidRPr="004436FA">
        <w:rPr>
          <w:rFonts w:ascii="Times New Roman" w:hAnsi="Times New Roman" w:cs="Times New Roman"/>
          <w:sz w:val="28"/>
          <w:szCs w:val="28"/>
        </w:rPr>
        <w:t>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Метод разностей</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0F9DAE73" wp14:editId="2F3A2E3F">
            <wp:extent cx="3244215" cy="252031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w:t>
      </w:r>
      <w:r w:rsidRPr="004436FA">
        <w:rPr>
          <w:rFonts w:ascii="Times New Roman" w:hAnsi="Times New Roman"/>
          <w:sz w:val="28"/>
          <w:szCs w:val="28"/>
        </w:rPr>
        <w:t>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cs="Times New Roman"/>
          <w:sz w:val="28"/>
          <w:szCs w:val="28"/>
        </w:rPr>
        <w:t xml:space="preserve"> в отношении данных хозяйствующих субъектов.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2008-2012 гг. при отсутствии ценового сговора. Соответственно, в качестве контрфактуальной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DB066E" w:rsidRDefault="00DB066E" w:rsidP="00DB066E">
      <w:pPr>
        <w:pStyle w:val="3"/>
        <w:spacing w:before="0" w:line="240" w:lineRule="auto"/>
        <w:ind w:firstLine="709"/>
        <w:jc w:val="both"/>
        <w:rPr>
          <w:rFonts w:ascii="Times New Roman" w:hAnsi="Times New Roman"/>
          <w:color w:val="auto"/>
          <w:sz w:val="28"/>
          <w:szCs w:val="28"/>
        </w:rPr>
      </w:pPr>
      <w:bookmarkStart w:id="45" w:name="_Toc487536226"/>
      <w:r w:rsidRPr="004436FA">
        <w:rPr>
          <w:rFonts w:ascii="Times New Roman" w:hAnsi="Times New Roman"/>
          <w:color w:val="auto"/>
          <w:sz w:val="28"/>
          <w:szCs w:val="28"/>
        </w:rPr>
        <w:t>2.2.2. Экономическое и финансовое моделирование.</w:t>
      </w:r>
      <w:bookmarkEnd w:id="45"/>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Контрфактуальный анализ также можно проводить на основе экономического и финансового моделирования. Более детально эти методы рассматриваются ниже.</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u w:val="single"/>
        </w:rPr>
      </w:pP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r w:rsidRPr="004436FA">
        <w:rPr>
          <w:rFonts w:ascii="Times New Roman" w:hAnsi="Times New Roman" w:cs="Times New Roman"/>
          <w:b/>
          <w:sz w:val="28"/>
          <w:szCs w:val="28"/>
        </w:rPr>
        <w:t>Финансовое моделирование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снижения отдачи от эффекта масштаба.</w:t>
      </w:r>
      <w:r w:rsidRPr="004436FA">
        <w:rPr>
          <w:rStyle w:val="ab"/>
          <w:rFonts w:ascii="Times New Roman" w:hAnsi="Times New Roman" w:cs="Times New Roman"/>
          <w:sz w:val="28"/>
          <w:szCs w:val="28"/>
        </w:rPr>
        <w:footnoteReference w:id="24"/>
      </w:r>
      <w:r w:rsidRPr="004436FA">
        <w:rPr>
          <w:rFonts w:ascii="Times New Roman" w:hAnsi="Times New Roman" w:cs="Times New Roman"/>
          <w:sz w:val="28"/>
          <w:szCs w:val="28"/>
        </w:rPr>
        <w:t xml:space="preserve">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После того, как контрфактуальный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6" w:name="_Ref404956246"/>
      <w:r w:rsidRPr="004436FA">
        <w:rPr>
          <w:rFonts w:ascii="Times New Roman" w:hAnsi="Times New Roman" w:cs="Times New Roman"/>
          <w:b/>
          <w:sz w:val="28"/>
          <w:szCs w:val="28"/>
        </w:rPr>
        <w:t>Экономическое моделирование</w:t>
      </w:r>
      <w:bookmarkEnd w:id="46"/>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w:t>
      </w:r>
      <w:r w:rsidRPr="004436FA">
        <w:rPr>
          <w:rStyle w:val="ab"/>
          <w:rFonts w:ascii="Times New Roman" w:hAnsi="Times New Roman" w:cs="Times New Roman"/>
          <w:sz w:val="28"/>
          <w:szCs w:val="28"/>
        </w:rPr>
        <w:footnoteReference w:id="25"/>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r w:rsidRPr="004436FA">
        <w:rPr>
          <w:rStyle w:val="ab"/>
          <w:rFonts w:ascii="Times New Roman" w:hAnsi="Times New Roman" w:cs="Times New Roman"/>
          <w:sz w:val="28"/>
          <w:szCs w:val="28"/>
        </w:rPr>
        <w:footnoteReference w:id="26"/>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w:t>
      </w:r>
      <w:r>
        <w:rPr>
          <w:rFonts w:ascii="Times New Roman" w:hAnsi="Times New Roman" w:cs="Times New Roman"/>
          <w:sz w:val="28"/>
          <w:szCs w:val="28"/>
        </w:rPr>
        <w:t>например</w:t>
      </w:r>
      <w:r w:rsidRPr="004436FA">
        <w:rPr>
          <w:rFonts w:ascii="Times New Roman" w:hAnsi="Times New Roman" w:cs="Times New Roman"/>
          <w:sz w:val="28"/>
          <w:szCs w:val="28"/>
        </w:rPr>
        <w:t>,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r>
        <w:rPr>
          <w:rFonts w:ascii="Times New Roman" w:hAnsi="Times New Roman" w:cs="Times New Roman"/>
          <w:sz w:val="28"/>
          <w:szCs w:val="28"/>
        </w:rPr>
        <w:t>,</w:t>
      </w:r>
      <w:r w:rsidRPr="004436FA">
        <w:rPr>
          <w:rFonts w:ascii="Times New Roman" w:hAnsi="Times New Roman" w:cs="Times New Roman"/>
          <w:sz w:val="28"/>
          <w:szCs w:val="28"/>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контрфактуальных цен или иных экономических показателей, которые могли бы иметь место при отсутствии нарушения. Такие модели могут быть ненадежны.</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контрфактуального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Широкое распространение получили две базовые экономические модели: модель Курно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r w:rsidRPr="004436FA">
        <w:rPr>
          <w:rStyle w:val="ab"/>
          <w:rFonts w:ascii="Times New Roman" w:hAnsi="Times New Roman" w:cs="Times New Roman"/>
          <w:sz w:val="28"/>
          <w:szCs w:val="28"/>
        </w:rPr>
        <w:footnoteReference w:id="27"/>
      </w:r>
      <w:r w:rsidRPr="004436FA">
        <w:rPr>
          <w:rFonts w:ascii="Times New Roman" w:hAnsi="Times New Roman" w:cs="Times New Roman"/>
          <w:sz w:val="28"/>
          <w:szCs w:val="28"/>
        </w:rPr>
        <w:t xml:space="preserve"> Данные модели не всегда применимы напрямую, но часто служат отправной точкой для более детальных исследований.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Модель Курно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Курно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стоит отметить, что и модель Курно и модель Бертрана предполагают наличие высоких барьеров входа на рынок (входа в рассматриваемую отрасль). Если барьеры относительно низки, то антиконкурентный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2"/>
        <w:spacing w:before="0" w:line="240" w:lineRule="auto"/>
        <w:ind w:firstLine="709"/>
        <w:jc w:val="both"/>
        <w:rPr>
          <w:rFonts w:ascii="Times New Roman" w:hAnsi="Times New Roman"/>
          <w:color w:val="auto"/>
          <w:sz w:val="28"/>
          <w:szCs w:val="28"/>
        </w:rPr>
      </w:pPr>
      <w:bookmarkStart w:id="47" w:name="_Ref406683446"/>
      <w:bookmarkStart w:id="48" w:name="_Toc487536227"/>
      <w:r w:rsidRPr="004436FA">
        <w:rPr>
          <w:rFonts w:ascii="Times New Roman" w:hAnsi="Times New Roman"/>
          <w:color w:val="auto"/>
          <w:sz w:val="28"/>
          <w:szCs w:val="28"/>
        </w:rPr>
        <w:t>2.3. Источники информации для проведения контрфактуального анализа</w:t>
      </w:r>
      <w:bookmarkEnd w:id="47"/>
      <w:r w:rsidRPr="004436FA">
        <w:rPr>
          <w:rFonts w:ascii="Times New Roman" w:hAnsi="Times New Roman"/>
          <w:color w:val="auto"/>
          <w:sz w:val="28"/>
          <w:szCs w:val="28"/>
        </w:rPr>
        <w:t>.</w:t>
      </w:r>
      <w:bookmarkEnd w:id="4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 </w:t>
      </w:r>
    </w:p>
    <w:p w:rsidR="00DB066E" w:rsidRPr="004436FA" w:rsidRDefault="00DB066E" w:rsidP="00DB066E">
      <w:pPr>
        <w:pStyle w:val="ConsPlusNormal"/>
        <w:numPr>
          <w:ilvl w:val="0"/>
          <w:numId w:val="46"/>
        </w:numPr>
        <w:tabs>
          <w:tab w:val="left" w:pos="851"/>
        </w:tabs>
        <w:ind w:left="0"/>
        <w:jc w:val="both"/>
      </w:pPr>
      <w:r w:rsidRPr="004436FA">
        <w:t>Официальные статистические данные, сведения, полученные от антимонопольных, налоговых, таможенных и иных государственных органов.</w:t>
      </w:r>
    </w:p>
    <w:p w:rsidR="00DB066E" w:rsidRPr="004436FA" w:rsidRDefault="00DB066E" w:rsidP="00DB066E">
      <w:pPr>
        <w:pStyle w:val="ConsPlusNormal"/>
        <w:numPr>
          <w:ilvl w:val="0"/>
          <w:numId w:val="46"/>
        </w:numPr>
        <w:tabs>
          <w:tab w:val="left" w:pos="851"/>
        </w:tabs>
        <w:ind w:left="0"/>
        <w:jc w:val="both"/>
      </w:pPr>
      <w:r w:rsidRPr="004436FA">
        <w:t>Внутренние документы компаний, включая финансовую отчетность, собственные маркетинговые исследования, экспертные оценки.</w:t>
      </w:r>
    </w:p>
    <w:p w:rsidR="00DB066E" w:rsidRPr="004436FA" w:rsidRDefault="00DB066E" w:rsidP="00DB066E">
      <w:pPr>
        <w:pStyle w:val="ConsPlusNormal"/>
        <w:numPr>
          <w:ilvl w:val="0"/>
          <w:numId w:val="46"/>
        </w:numPr>
        <w:tabs>
          <w:tab w:val="left" w:pos="851"/>
        </w:tabs>
        <w:ind w:left="0"/>
        <w:jc w:val="both"/>
      </w:pPr>
      <w:r w:rsidRPr="004436FA">
        <w:t>Рыночные и маркетинговые исследования, проведенные третьими лицами (соответствующими специализированными организациями).</w:t>
      </w:r>
    </w:p>
    <w:p w:rsidR="00DB066E" w:rsidRPr="004436FA" w:rsidRDefault="00DB066E" w:rsidP="00DB066E">
      <w:pPr>
        <w:pStyle w:val="ConsPlusNormal"/>
        <w:numPr>
          <w:ilvl w:val="0"/>
          <w:numId w:val="46"/>
        </w:numPr>
        <w:tabs>
          <w:tab w:val="left" w:pos="851"/>
        </w:tabs>
        <w:ind w:left="0"/>
        <w:jc w:val="both"/>
      </w:pPr>
      <w:r w:rsidRPr="004436FA">
        <w:t>Экспертные оценки и исследования органов государственной власти (министерств, ведомств, отраслевых регуляторов и проч.).</w:t>
      </w:r>
    </w:p>
    <w:p w:rsidR="00DB066E" w:rsidRPr="004436FA" w:rsidRDefault="00DB066E" w:rsidP="00DB066E">
      <w:pPr>
        <w:pStyle w:val="ConsPlusNormal"/>
        <w:numPr>
          <w:ilvl w:val="0"/>
          <w:numId w:val="46"/>
        </w:numPr>
        <w:tabs>
          <w:tab w:val="left" w:pos="851"/>
        </w:tabs>
        <w:ind w:left="0"/>
        <w:jc w:val="both"/>
      </w:pPr>
      <w:r w:rsidRPr="004436FA">
        <w:t>Данные ведомственных и независимых информационных центров и служб, средств массовой информации.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w:t>
      </w:r>
      <w:r>
        <w:rPr>
          <w:rFonts w:ascii="Times New Roman" w:hAnsi="Times New Roman" w:cs="Times New Roman"/>
          <w:sz w:val="28"/>
          <w:szCs w:val="28"/>
        </w:rPr>
        <w:t>Например, если</w:t>
      </w:r>
      <w:r w:rsidRPr="004436FA">
        <w:rPr>
          <w:rFonts w:ascii="Times New Roman" w:hAnsi="Times New Roman" w:cs="Times New Roman"/>
          <w:sz w:val="28"/>
          <w:szCs w:val="28"/>
        </w:rPr>
        <w:t xml:space="preserve">,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 </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w:t>
      </w:r>
      <w:r>
        <w:rPr>
          <w:rFonts w:ascii="Times New Roman" w:hAnsi="Times New Roman" w:cs="Times New Roman"/>
          <w:sz w:val="28"/>
          <w:szCs w:val="28"/>
        </w:rPr>
        <w:t>ванных упущенными объемами</w:t>
      </w:r>
      <w:r w:rsidRPr="004436FA">
        <w:rPr>
          <w:rFonts w:ascii="Times New Roman" w:hAnsi="Times New Roman" w:cs="Times New Roman"/>
          <w:sz w:val="28"/>
          <w:szCs w:val="28"/>
        </w:rPr>
        <w:t>, а также для оц</w:t>
      </w:r>
      <w:r>
        <w:rPr>
          <w:rFonts w:ascii="Times New Roman" w:hAnsi="Times New Roman" w:cs="Times New Roman"/>
          <w:sz w:val="28"/>
          <w:szCs w:val="28"/>
        </w:rPr>
        <w:t>енки эффекта переноса издержек</w:t>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49" w:name="_Ref404954119"/>
      <w:bookmarkStart w:id="50" w:name="_Toc487536228"/>
      <w:r w:rsidRPr="004436FA">
        <w:rPr>
          <w:rFonts w:ascii="Times New Roman" w:hAnsi="Times New Roman"/>
          <w:color w:val="auto"/>
        </w:rPr>
        <w:t>3. Расчеты убытков, причиненных установлением (поддержанием) необоснованно высоких цен</w:t>
      </w:r>
      <w:bookmarkEnd w:id="49"/>
      <w:r w:rsidRPr="004436FA">
        <w:rPr>
          <w:rFonts w:ascii="Times New Roman" w:hAnsi="Times New Roman"/>
          <w:color w:val="auto"/>
        </w:rPr>
        <w:t>.</w:t>
      </w:r>
      <w:bookmarkEnd w:id="5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1" w:name="_Toc487536229"/>
      <w:r w:rsidRPr="004436FA">
        <w:rPr>
          <w:rFonts w:ascii="Times New Roman" w:hAnsi="Times New Roman"/>
          <w:color w:val="auto"/>
          <w:sz w:val="28"/>
          <w:szCs w:val="28"/>
        </w:rPr>
        <w:t>3.1. Введение.</w:t>
      </w:r>
      <w:bookmarkEnd w:id="51"/>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таким нарушениям, в первую очередь, относятся антиконкурентные горизонтальные соглашения (картели) и установление монопольно высоких цен. Важно почеркнуть, что в эту категорию входят не только антиконкурентные соглашения (действия), непосредственно направленные на увеличение цен, но и любые антиконкурентные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w:t>
      </w:r>
      <w:r w:rsidRPr="004436FA">
        <w:rPr>
          <w:rStyle w:val="ab"/>
          <w:rFonts w:ascii="Times New Roman" w:hAnsi="Times New Roman" w:cs="Times New Roman"/>
          <w:sz w:val="28"/>
          <w:szCs w:val="28"/>
        </w:rPr>
        <w:footnoteReference w:id="28"/>
      </w:r>
      <w:r w:rsidRPr="004436FA">
        <w:rPr>
          <w:rStyle w:val="ab"/>
          <w:rFonts w:ascii="Times New Roman" w:hAnsi="Times New Roman" w:cs="Times New Roman"/>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подразделе 3.2 настоящего раздела описываются основные принципы оценки убытков, которые непосредственные потребители</w:t>
      </w:r>
      <w:r w:rsidRPr="004436FA">
        <w:rPr>
          <w:rStyle w:val="ab"/>
          <w:rFonts w:ascii="Times New Roman" w:hAnsi="Times New Roman" w:cs="Times New Roman"/>
          <w:sz w:val="28"/>
          <w:szCs w:val="28"/>
        </w:rPr>
        <w:footnoteReference w:id="29"/>
      </w:r>
      <w:r w:rsidRPr="004436FA">
        <w:rPr>
          <w:rFonts w:ascii="Times New Roman" w:hAnsi="Times New Roman" w:cs="Times New Roman"/>
          <w:sz w:val="28"/>
          <w:szCs w:val="28"/>
        </w:rPr>
        <w:t xml:space="preserve">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2" w:name="_Ref405562409"/>
      <w:bookmarkStart w:id="53" w:name="_Toc487536230"/>
      <w:r w:rsidRPr="004436FA">
        <w:rPr>
          <w:rFonts w:ascii="Times New Roman" w:hAnsi="Times New Roman"/>
          <w:color w:val="auto"/>
          <w:sz w:val="28"/>
          <w:szCs w:val="28"/>
        </w:rPr>
        <w:t>3.2. Расчет убытков для непосредственных приобретателей рассматриваемого товара (услуги)</w:t>
      </w:r>
      <w:bookmarkEnd w:id="52"/>
      <w:r w:rsidRPr="004436FA">
        <w:rPr>
          <w:rFonts w:ascii="Times New Roman" w:hAnsi="Times New Roman"/>
          <w:color w:val="auto"/>
          <w:sz w:val="28"/>
          <w:szCs w:val="28"/>
        </w:rPr>
        <w:t>.</w:t>
      </w:r>
      <w:bookmarkEnd w:id="5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567"/>
        <w:jc w:val="both"/>
      </w:pPr>
      <w:r w:rsidRPr="004436FA">
        <w:t>насколько были необоснованно завышены цены в результате нарушения?</w:t>
      </w:r>
    </w:p>
    <w:p w:rsidR="00DB066E" w:rsidRPr="004436FA" w:rsidRDefault="00DB066E" w:rsidP="00DB066E">
      <w:pPr>
        <w:pStyle w:val="ConsPlusNormal"/>
        <w:numPr>
          <w:ilvl w:val="0"/>
          <w:numId w:val="36"/>
        </w:numPr>
        <w:tabs>
          <w:tab w:val="left" w:pos="851"/>
        </w:tabs>
        <w:ind w:left="0" w:firstLine="567"/>
        <w:jc w:val="both"/>
      </w:pPr>
      <w:r w:rsidRPr="004436FA">
        <w:t>насколько снизился объем закупок товара (услуги) пострадавшей стороной в результате повышения цен?</w:t>
      </w:r>
    </w:p>
    <w:p w:rsidR="00DB066E" w:rsidRPr="004436FA" w:rsidRDefault="00DB066E" w:rsidP="00DB066E">
      <w:pPr>
        <w:pStyle w:val="ConsPlusNormal"/>
        <w:numPr>
          <w:ilvl w:val="0"/>
          <w:numId w:val="36"/>
        </w:numPr>
        <w:tabs>
          <w:tab w:val="left" w:pos="851"/>
        </w:tabs>
        <w:ind w:left="0" w:firstLine="567"/>
        <w:jc w:val="both"/>
      </w:pPr>
      <w:r w:rsidRPr="004436FA">
        <w:t>насколько приобретатели товара (услуги) повысили цены при реализации своей собственной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Эти три вопроса соответствуют трем различным экономическим эффектам: эффект «завышенных цен», эффект «упущенных объемов» и эффект «переноса издержек»</w:t>
      </w:r>
      <w:r w:rsidRPr="004436FA">
        <w:rPr>
          <w:rStyle w:val="ab"/>
          <w:rFonts w:ascii="Times New Roman" w:hAnsi="Times New Roman" w:cs="Times New Roman"/>
          <w:sz w:val="28"/>
          <w:szCs w:val="28"/>
        </w:rPr>
        <w:footnoteReference w:id="30"/>
      </w:r>
      <w:r w:rsidRPr="004436FA">
        <w:rPr>
          <w:rFonts w:ascii="Times New Roman" w:hAnsi="Times New Roman" w:cs="Times New Roman"/>
          <w:sz w:val="28"/>
          <w:szCs w:val="28"/>
        </w:rPr>
        <w:t>. Более детально эти эффекты обсуждаются ниже.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4" w:name="_Toc487536231"/>
      <w:r w:rsidRPr="004436FA">
        <w:rPr>
          <w:rFonts w:ascii="Times New Roman" w:hAnsi="Times New Roman"/>
          <w:color w:val="auto"/>
          <w:sz w:val="28"/>
          <w:szCs w:val="28"/>
        </w:rPr>
        <w:t>3.2.1. Эффект завышенных цен.</w:t>
      </w:r>
      <w:bookmarkEnd w:id="5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качестве иллюстрации предположим, что фактическая цена приобретения товара была 110 руб./ед., а контрфактуальная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5" w:name="_Ref406589540"/>
      <w:bookmarkStart w:id="56" w:name="_Toc487536232"/>
      <w:r w:rsidRPr="004436FA">
        <w:rPr>
          <w:rFonts w:ascii="Times New Roman" w:hAnsi="Times New Roman"/>
          <w:color w:val="auto"/>
          <w:sz w:val="28"/>
          <w:szCs w:val="28"/>
        </w:rPr>
        <w:t>3.2.2. Эффект упущенных объемов</w:t>
      </w:r>
      <w:bookmarkEnd w:id="55"/>
      <w:r w:rsidRPr="004436FA">
        <w:rPr>
          <w:rFonts w:ascii="Times New Roman" w:hAnsi="Times New Roman"/>
          <w:color w:val="auto"/>
          <w:sz w:val="28"/>
          <w:szCs w:val="28"/>
        </w:rPr>
        <w:t>.</w:t>
      </w:r>
      <w:bookmarkEnd w:id="56"/>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Согласно классической теории потребительского спроса,</w:t>
      </w:r>
      <w:r w:rsidRPr="004436FA">
        <w:rPr>
          <w:rStyle w:val="ab"/>
          <w:rFonts w:ascii="Times New Roman" w:hAnsi="Times New Roman" w:cs="Times New Roman"/>
          <w:sz w:val="28"/>
          <w:szCs w:val="28"/>
        </w:rPr>
        <w:footnoteReference w:id="31"/>
      </w:r>
      <w:r w:rsidRPr="004436FA">
        <w:rPr>
          <w:rFonts w:ascii="Times New Roman" w:hAnsi="Times New Roman" w:cs="Times New Roman"/>
          <w:sz w:val="28"/>
          <w:szCs w:val="28"/>
        </w:rPr>
        <w:t xml:space="preserve">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Например, если при росте цен по сравнению со своим контрфактуальным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контрфактуального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7" w:name="_Ref406589586"/>
      <w:bookmarkStart w:id="58" w:name="_Toc487536233"/>
      <w:r w:rsidRPr="004436FA">
        <w:rPr>
          <w:rFonts w:ascii="Times New Roman" w:hAnsi="Times New Roman"/>
          <w:color w:val="auto"/>
          <w:sz w:val="28"/>
          <w:szCs w:val="28"/>
        </w:rPr>
        <w:t>3.2.3. Эффект переноса издержек</w:t>
      </w:r>
      <w:bookmarkEnd w:id="57"/>
      <w:r w:rsidRPr="004436FA">
        <w:rPr>
          <w:rFonts w:ascii="Times New Roman" w:hAnsi="Times New Roman"/>
          <w:color w:val="auto"/>
          <w:sz w:val="28"/>
          <w:szCs w:val="28"/>
        </w:rPr>
        <w:t>.</w:t>
      </w:r>
      <w:bookmarkEnd w:id="5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полезно рассмотреть гипотетическую ситуацию, представленную в нижеследующей вставке.</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sz w:val="28"/>
          <w:szCs w:val="28"/>
        </w:rPr>
        <w:t xml:space="preserve">Эффект переноса издержек на монопольном рынке при линейном спросе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ООО «Компания» является монополистом на рынке продукта А. Спрос на продукт А хорошо описывается линейной зависимостью: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где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объем продаж (в млн. штук), и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цена (в рублях).  Соответственно, обратный спрос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П</w:t>
      </w:r>
      <w:r w:rsidRPr="004436FA">
        <w:rPr>
          <w:rFonts w:ascii="Times New Roman" w:hAnsi="Times New Roman" w:cs="Times New Roman"/>
          <w:sz w:val="28"/>
          <w:szCs w:val="28"/>
        </w:rPr>
        <w:t>.  Данный спрос представлен на диаграмме ниже.</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660CF0C4" wp14:editId="197D6CCB">
                <wp:extent cx="3491230" cy="2499995"/>
                <wp:effectExtent l="3175" t="0" r="1270" b="0"/>
                <wp:docPr id="92"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 name="Straight Arrow Connector 77"/>
                        <wps:cNvCnPr>
                          <a:cxnSpLocks noChangeShapeType="1"/>
                        </wps:cNvCnPr>
                        <wps:spPr bwMode="auto">
                          <a:xfrm flipV="1">
                            <a:off x="436704" y="85703"/>
                            <a:ext cx="0" cy="21606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Straight Arrow Connector 78"/>
                        <wps:cNvCnPr>
                          <a:cxnSpLocks noChangeShapeType="1"/>
                        </wps:cNvCnPr>
                        <wps:spPr bwMode="auto">
                          <a:xfrm rot="5400000" flipV="1">
                            <a:off x="1409512" y="1057572"/>
                            <a:ext cx="0" cy="21600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 name="Straight Connector 16"/>
                        <wps:cNvCnPr/>
                        <wps:spPr bwMode="auto">
                          <a:xfrm>
                            <a:off x="436704" y="409616"/>
                            <a:ext cx="1727515" cy="17279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79"/>
                        <wps:cNvCnPr/>
                        <wps:spPr bwMode="auto">
                          <a:xfrm>
                            <a:off x="436704" y="409916"/>
                            <a:ext cx="864007" cy="17276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Text Box 18"/>
                        <wps:cNvSpPr txBox="1">
                          <a:spLocks noChangeArrowheads="1"/>
                        </wps:cNvSpPr>
                        <wps:spPr bwMode="auto">
                          <a:xfrm>
                            <a:off x="146701" y="24101"/>
                            <a:ext cx="3054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p>
                          </w:txbxContent>
                        </wps:txbx>
                        <wps:bodyPr rot="0" vert="horz" wrap="none" lIns="91440" tIns="45720" rIns="91440" bIns="45720" anchor="t" anchorCtr="0" upright="1">
                          <a:noAutofit/>
                        </wps:bodyPr>
                      </wps:wsp>
                      <wps:wsp>
                        <wps:cNvPr id="73" name="Text Box 18"/>
                        <wps:cNvSpPr txBox="1">
                          <a:spLocks noChangeArrowheads="1"/>
                        </wps:cNvSpPr>
                        <wps:spPr bwMode="auto">
                          <a:xfrm>
                            <a:off x="2328520" y="2178683"/>
                            <a:ext cx="3048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wps:txbx>
                        <wps:bodyPr rot="0" vert="horz" wrap="none" lIns="91440" tIns="45720" rIns="91440" bIns="45720" anchor="t" anchorCtr="0" upright="1">
                          <a:noAutofit/>
                        </wps:bodyPr>
                      </wps:wsp>
                      <wps:wsp>
                        <wps:cNvPr id="74" name="Straight Connector 58"/>
                        <wps:cNvCnPr/>
                        <wps:spPr bwMode="auto">
                          <a:xfrm>
                            <a:off x="436704" y="1446255"/>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5" name="Straight Connector 84"/>
                        <wps:cNvCnPr/>
                        <wps:spPr bwMode="auto">
                          <a:xfrm>
                            <a:off x="437204" y="1793768"/>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6" name="Straight Connector 59"/>
                        <wps:cNvCnPr/>
                        <wps:spPr bwMode="auto">
                          <a:xfrm flipH="1" flipV="1">
                            <a:off x="1129210" y="1106442"/>
                            <a:ext cx="0" cy="103113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Straight Connector 86"/>
                        <wps:cNvCnPr/>
                        <wps:spPr bwMode="auto">
                          <a:xfrm flipH="1">
                            <a:off x="437204" y="1106442"/>
                            <a:ext cx="69200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Straight Connector 87"/>
                        <wps:cNvCnPr/>
                        <wps:spPr bwMode="auto">
                          <a:xfrm flipV="1">
                            <a:off x="954108" y="932435"/>
                            <a:ext cx="0" cy="12051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Straight Connector 88"/>
                        <wps:cNvCnPr/>
                        <wps:spPr bwMode="auto">
                          <a:xfrm flipH="1">
                            <a:off x="436704" y="932435"/>
                            <a:ext cx="51970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Straight Connector 89"/>
                        <wps:cNvCnPr/>
                        <wps:spPr bwMode="auto">
                          <a:xfrm>
                            <a:off x="1518913" y="278911"/>
                            <a:ext cx="2520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92"/>
                        <wps:cNvSpPr txBox="1">
                          <a:spLocks noChangeArrowheads="1"/>
                        </wps:cNvSpPr>
                        <wps:spPr bwMode="auto">
                          <a:xfrm>
                            <a:off x="1885216" y="194407"/>
                            <a:ext cx="878708"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Спрос</w:t>
                              </w:r>
                            </w:p>
                          </w:txbxContent>
                        </wps:txbx>
                        <wps:bodyPr rot="0" vert="horz" wrap="square" lIns="0" tIns="0" rIns="0" bIns="0" anchor="ctr" anchorCtr="0" upright="1">
                          <a:noAutofit/>
                        </wps:bodyPr>
                      </wps:wsp>
                      <wps:wsp>
                        <wps:cNvPr id="83" name="Straight Connector 98"/>
                        <wps:cNvCnPr/>
                        <wps:spPr bwMode="auto">
                          <a:xfrm>
                            <a:off x="1518913" y="466318"/>
                            <a:ext cx="25200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Text Box 99"/>
                        <wps:cNvSpPr txBox="1">
                          <a:spLocks noChangeArrowheads="1"/>
                        </wps:cNvSpPr>
                        <wps:spPr bwMode="auto">
                          <a:xfrm>
                            <a:off x="1885216" y="381915"/>
                            <a:ext cx="1407612" cy="184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Предельная выручка</w:t>
                              </w:r>
                            </w:p>
                          </w:txbxContent>
                        </wps:txbx>
                        <wps:bodyPr rot="0" vert="horz" wrap="square" lIns="0" tIns="0" rIns="0" bIns="0" anchor="ctr" anchorCtr="0" upright="1">
                          <a:noAutofit/>
                        </wps:bodyPr>
                      </wps:wsp>
                      <wps:wsp>
                        <wps:cNvPr id="85" name="Straight Connector 100"/>
                        <wps:cNvCnPr/>
                        <wps:spPr bwMode="auto">
                          <a:xfrm>
                            <a:off x="1518913" y="653725"/>
                            <a:ext cx="252002"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6" name="Text Box 101"/>
                        <wps:cNvSpPr txBox="1">
                          <a:spLocks noChangeArrowheads="1"/>
                        </wps:cNvSpPr>
                        <wps:spPr bwMode="auto">
                          <a:xfrm>
                            <a:off x="1885216" y="569222"/>
                            <a:ext cx="1448712"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Предельные издержки</w:t>
                              </w:r>
                            </w:p>
                          </w:txbxContent>
                        </wps:txbx>
                        <wps:bodyPr rot="0" vert="horz" wrap="square" lIns="0" tIns="0" rIns="0" bIns="0" anchor="ctr" anchorCtr="0" upright="1">
                          <a:noAutofit/>
                        </wps:bodyPr>
                      </wps:wsp>
                      <wps:wsp>
                        <wps:cNvPr id="87" name="Text Box 104"/>
                        <wps:cNvSpPr txBox="1">
                          <a:spLocks noChangeArrowheads="1"/>
                        </wps:cNvSpPr>
                        <wps:spPr bwMode="auto">
                          <a:xfrm>
                            <a:off x="143501" y="798830"/>
                            <a:ext cx="33845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Pr>
                                  <w:i/>
                                  <w:vertAlign w:val="subscript"/>
                                </w:rPr>
                                <w:t>2</w:t>
                              </w:r>
                            </w:p>
                          </w:txbxContent>
                        </wps:txbx>
                        <wps:bodyPr rot="0" vert="horz" wrap="none" lIns="91440" tIns="45720" rIns="91440" bIns="45720" anchor="t" anchorCtr="0" upright="1">
                          <a:noAutofit/>
                        </wps:bodyPr>
                      </wps:wsp>
                      <wps:wsp>
                        <wps:cNvPr id="88" name="Text Box 105"/>
                        <wps:cNvSpPr txBox="1">
                          <a:spLocks noChangeArrowheads="1"/>
                        </wps:cNvSpPr>
                        <wps:spPr bwMode="auto">
                          <a:xfrm>
                            <a:off x="146001" y="993138"/>
                            <a:ext cx="3384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sidRPr="00547415">
                                <w:rPr>
                                  <w:i/>
                                  <w:vertAlign w:val="subscript"/>
                                </w:rPr>
                                <w:t>1</w:t>
                              </w:r>
                            </w:p>
                          </w:txbxContent>
                        </wps:txbx>
                        <wps:bodyPr rot="0" vert="horz" wrap="none" lIns="91440" tIns="45720" rIns="91440" bIns="45720" anchor="t" anchorCtr="0" upright="1">
                          <a:noAutofit/>
                        </wps:bodyPr>
                      </wps:wsp>
                      <wps:wsp>
                        <wps:cNvPr id="89" name="Text Box 108"/>
                        <wps:cNvSpPr txBox="1">
                          <a:spLocks noChangeArrowheads="1"/>
                        </wps:cNvSpPr>
                        <wps:spPr bwMode="auto">
                          <a:xfrm>
                            <a:off x="146701" y="1323950"/>
                            <a:ext cx="32258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Pr>
                                  <w:i/>
                                  <w:vertAlign w:val="subscript"/>
                                </w:rPr>
                                <w:t>2</w:t>
                              </w:r>
                            </w:p>
                          </w:txbxContent>
                        </wps:txbx>
                        <wps:bodyPr rot="0" vert="horz" wrap="none" lIns="91440" tIns="45720" rIns="91440" bIns="45720" anchor="t" anchorCtr="0" upright="1">
                          <a:noAutofit/>
                        </wps:bodyPr>
                      </wps:wsp>
                      <wps:wsp>
                        <wps:cNvPr id="90" name="Text Box 109"/>
                        <wps:cNvSpPr txBox="1">
                          <a:spLocks noChangeArrowheads="1"/>
                        </wps:cNvSpPr>
                        <wps:spPr bwMode="auto">
                          <a:xfrm>
                            <a:off x="149201" y="1648463"/>
                            <a:ext cx="3225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sidRPr="00547415">
                                <w:rPr>
                                  <w:i/>
                                  <w:vertAlign w:val="subscript"/>
                                </w:rPr>
                                <w:t>1</w:t>
                              </w:r>
                            </w:p>
                          </w:txbxContent>
                        </wps:txbx>
                        <wps:bodyPr rot="0" vert="horz" wrap="none" lIns="91440" tIns="45720" rIns="91440" bIns="45720" anchor="t" anchorCtr="0" upright="1">
                          <a:noAutofit/>
                        </wps:bodyPr>
                      </wps:wsp>
                      <wps:wsp>
                        <wps:cNvPr id="91" name="Straight Arrow Connector 110"/>
                        <wps:cNvCnPr>
                          <a:cxnSpLocks noChangeShapeType="1"/>
                        </wps:cNvCnPr>
                        <wps:spPr bwMode="auto">
                          <a:xfrm flipV="1">
                            <a:off x="2061418" y="1507857"/>
                            <a:ext cx="0" cy="21600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60CF0C4" id="Canvas 13" o:spid="_x0000_s1026" editas="canvas" style="width:274.9pt;height:196.85pt;mso-position-horizontal-relative:char;mso-position-vertical-relative:line" coordsize="34912,2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12;height:24999;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77" o:spid="_x0000_s1028" type="#_x0000_t32" style="position:absolute;left:4367;top:857;width:0;height:216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78" o:spid="_x0000_s1029" type="#_x0000_t32" style="position:absolute;left:14095;top:10575;width:0;height:216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8SsMAAADbAAAADwAAAGRycy9kb3ducmV2LnhtbESPQWvCQBSE74X+h+UVvNVdJaRtdA3F&#10;Ioh4aWzvj+wzCc2+jdmtSf69KxR6HGbmG2adj7YVV+p941jDYq5AEJfONFxp+Drtnl9B+IBssHVM&#10;GibykG8eH9aYGTfwJ12LUIkIYZ+hhjqELpPSlzVZ9HPXEUfv7HqLIcq+kqbHIcJtK5dKpdJiw3Gh&#10;xo62NZU/xa/VYNXH8fiiFockuXxPu32wiVJLrWdP4/sKRKAx/If/2nujIX2D+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KPErDAAAA2wAAAA8AAAAAAAAAAAAA&#10;AAAAoQIAAGRycy9kb3ducmV2LnhtbFBLBQYAAAAABAAEAPkAAACRAwAAAAA=&#10;">
                  <v:stroke endarrow="open"/>
                </v:shape>
                <v:line id="Straight Connector 16" o:spid="_x0000_s1030" style="position:absolute;visibility:visible;mso-wrap-style:square" from="4367,4096" to="2164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9" o:spid="_x0000_s1031" style="position:absolute;visibility:visible;mso-wrap-style:square" from="4367,4099" to="13007,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8" o:spid="_x0000_s1032" type="#_x0000_t202" style="position:absolute;left:1467;top:241;width:305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rsidR="00DB066E" w:rsidRPr="00547415" w:rsidRDefault="00DB066E" w:rsidP="00DB066E">
                        <w:pPr>
                          <w:rPr>
                            <w:i/>
                          </w:rPr>
                        </w:pPr>
                        <w:r>
                          <w:rPr>
                            <w:i/>
                          </w:rPr>
                          <w:t>Ц</w:t>
                        </w:r>
                      </w:p>
                    </w:txbxContent>
                  </v:textbox>
                </v:shape>
                <v:shape id="Text Box 18" o:spid="_x0000_s1033" type="#_x0000_t202" style="position:absolute;left:23285;top:21786;width:3048;height:25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v:textbox>
                </v:shape>
                <v:line id="Straight Connector 58" o:spid="_x0000_s1034" style="position:absolute;visibility:visible;mso-wrap-style:square" from="4367,14462" to="21647,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ZksYAAADbAAAADwAAAGRycy9kb3ducmV2LnhtbESPQWvCQBCF7wX/wzJCb3Wj1EZTV7Et&#10;BaGnWEt7HLLTbDA7m2a3JvrrXUHw+HjzvjdvseptLQ7U+sqxgvEoAUFcOF1xqWD3+f4wA+EDssba&#10;MSk4kofVcnC3wEy7jnM6bEMpIoR9hgpMCE0mpS8MWfQj1xBH79e1FkOUbSl1i12E21pOkuRJWqw4&#10;Nhhs6NVQsd/+2/hGOj295F9v89nPznx3+Tzlzd+HUvfDfv0MIlAfbsfX9EYrSB/hsiUC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S2ZLGAAAA2wAAAA8AAAAAAAAA&#10;AAAAAAAAoQIAAGRycy9kb3ducmV2LnhtbFBLBQYAAAAABAAEAPkAAACUAwAAAAA=&#10;">
                  <v:stroke dashstyle="longDashDot"/>
                </v:line>
                <v:line id="Straight Connector 84" o:spid="_x0000_s1035" style="position:absolute;visibility:visible;mso-wrap-style:square" from="4372,17937" to="21652,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8CcUAAADbAAAADwAAAGRycy9kb3ducmV2LnhtbESPQWvCQBCF70L/wzKCN90oaDR1lVop&#10;CD3FWtrjkJ1mQ7OzaXZror++Kwg9Pt68781bb3tbizO1vnKsYDpJQBAXTldcKji9vYyXIHxA1lg7&#10;JgUX8rDdPAzWmGnXcU7nYyhFhLDPUIEJocmk9IUhi37iGuLofbnWYoiyLaVusYtwW8tZkiykxYpj&#10;g8GGng0V38dfG99I59dd/r5fLT9P5qPLVykffl6VGg37p0cQgfrwf3xPH7SCdA63LREA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8CcUAAADbAAAADwAAAAAAAAAA&#10;AAAAAAChAgAAZHJzL2Rvd25yZXYueG1sUEsFBgAAAAAEAAQA+QAAAJMDAAAAAA==&#10;">
                  <v:stroke dashstyle="longDashDot"/>
                </v:line>
                <v:line id="Straight Connector 59" o:spid="_x0000_s1036" style="position:absolute;flip:x y;visibility:visible;mso-wrap-style:square" from="11292,11064" to="1129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4XsMAAADbAAAADwAAAGRycy9kb3ducmV2LnhtbESP3YrCMBSE7wXfIRxh7zR1WVSqsaiw&#10;qLAI/uHtoTm2xeakNLHWffrNguDlMDPfMLOkNaVoqHaFZQXDQQSCOLW64EzB6fjdn4BwHlljaZkU&#10;PMlBMu92Zhhr++A9NQefiQBhF6OC3PsqltKlORl0A1sRB+9qa4M+yDqTusZHgJtSfkbRSBosOCzk&#10;WNEqp/R2uBsFqfHb53JHi/OFxr/7CO3wZ/2l1EevXUxBeGr9O/xqb7SC8Qj+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F7DAAAA2wAAAA8AAAAAAAAAAAAA&#10;AAAAoQIAAGRycy9kb3ducmV2LnhtbFBLBQYAAAAABAAEAPkAAACRAwAAAAA=&#10;">
                  <v:stroke dashstyle="1 1"/>
                </v:line>
                <v:line id="Straight Connector 86" o:spid="_x0000_s1037" style="position:absolute;flip:x;visibility:visible;mso-wrap-style:square" from="4372,11064" to="11292,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8EAAADbAAAADwAAAGRycy9kb3ducmV2LnhtbESP3YrCMBSE7xd8h3AE79ZUL3SpRhFF&#10;FAXBnwc4NMc22JyUJtbq0xtB2MthZr5hpvPWlqKh2hvHCgb9BARx5rThXMHlvP79A+EDssbSMSl4&#10;kof5rPMzxVS7Bx+pOYVcRAj7FBUUIVSplD4ryKLvu4o4eldXWwxR1rnUNT4i3JZymCQjadFwXCiw&#10;omVB2e10twrC/rUxpjno3ZObl6fjboWXkVK9bruYgAjUhv/wt73VCsZj+Hy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6VfwQAAANsAAAAPAAAAAAAAAAAAAAAA&#10;AKECAABkcnMvZG93bnJldi54bWxQSwUGAAAAAAQABAD5AAAAjwMAAAAA&#10;">
                  <v:stroke dashstyle="1 1"/>
                </v:line>
                <v:line id="Straight Connector 87" o:spid="_x0000_s1038" style="position:absolute;flip:y;visibility:visible;mso-wrap-style:square" from="9541,9324" to="9541,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Straight Connector 88" o:spid="_x0000_s1039" style="position:absolute;flip:x;visibility:visible;mso-wrap-style:square" from="4367,9324" to="9564,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DLwAAADbAAAADwAAAGRycy9kb3ducmV2LnhtbERPSwrCMBDdC94hjOBOU12IVKOIIoqC&#10;4OcAQzO2wWZSmlirpzcLweXj/efL1paiodobxwpGwwQEcea04VzB7bodTEH4gKyxdEwK3uRhueh2&#10;5phq9+IzNZeQixjCPkUFRQhVKqXPCrLoh64ijtzd1RZDhHUudY2vGG5LOU6SibRoODYUWNG6oOxx&#10;eVoF4fjZGdOc9OHNzcfT+bDB20Spfq9dzUAEasNf/HPvtYJp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NNDLwAAADbAAAADwAAAAAAAAAAAAAAAAChAgAA&#10;ZHJzL2Rvd25yZXYueG1sUEsFBgAAAAAEAAQA+QAAAIoDAAAAAA==&#10;">
                  <v:stroke dashstyle="1 1"/>
                </v:line>
                <v:line id="Straight Connector 89" o:spid="_x0000_s1040" style="position:absolute;visibility:visible;mso-wrap-style:square" from="15189,2789" to="17709,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92" o:spid="_x0000_s1041" type="#_x0000_t202" style="position:absolute;left:18852;top:1944;width:87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DB066E" w:rsidRPr="00547415" w:rsidRDefault="00DB066E" w:rsidP="00DB066E">
                        <w:r>
                          <w:t>Спрос</w:t>
                        </w:r>
                      </w:p>
                    </w:txbxContent>
                  </v:textbox>
                </v:shape>
                <v:line id="Straight Connector 98" o:spid="_x0000_s1042" style="position:absolute;visibility:visible;mso-wrap-style:square" from="15189,4663" to="1770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9" o:spid="_x0000_s1043" type="#_x0000_t202" style="position:absolute;left:18852;top:3819;width:14076;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DB066E" w:rsidRPr="00547415" w:rsidRDefault="00DB066E" w:rsidP="00DB066E">
                        <w:r>
                          <w:t>Предельная выручка</w:t>
                        </w:r>
                      </w:p>
                    </w:txbxContent>
                  </v:textbox>
                </v:shape>
                <v:line id="Straight Connector 100" o:spid="_x0000_s1044" style="position:absolute;visibility:visible;mso-wrap-style:square" from="15189,6537" to="17709,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MLsUAAADbAAAADwAAAGRycy9kb3ducmV2LnhtbESPQWvCQBCF7wX/wzJCb3VjwRpTV7Et&#10;BcFT1NIeh+yYDWZn0+zWpP56VxA8Pt68782bL3tbixO1vnKsYDxKQBAXTldcKtjvPp9SED4ga6wd&#10;k4J/8rBcDB7mmGnXcU6nbShFhLDPUIEJocmk9IUhi37kGuLoHVxrMUTZllK32EW4reVzkrxIixXH&#10;BoMNvRsqjts/G9+YTs5v+dfHLP3Zm+8un015/btR6nHYr15BBOrD/fiWXmsF6Q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sMLsUAAADbAAAADwAAAAAAAAAA&#10;AAAAAAChAgAAZHJzL2Rvd25yZXYueG1sUEsFBgAAAAAEAAQA+QAAAJMDAAAAAA==&#10;">
                  <v:stroke dashstyle="longDashDot"/>
                </v:line>
                <v:shape id="Text Box 101" o:spid="_x0000_s1045" type="#_x0000_t202" style="position:absolute;left:18852;top:5692;width:144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DB066E" w:rsidRPr="00547415" w:rsidRDefault="00DB066E" w:rsidP="00DB066E">
                        <w:r>
                          <w:t>Предельные издержки</w:t>
                        </w:r>
                      </w:p>
                    </w:txbxContent>
                  </v:textbox>
                </v:shape>
                <v:shape id="Text Box 104" o:spid="_x0000_s1046" type="#_x0000_t202" style="position:absolute;left:1435;top:7988;width:3384;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DB066E" w:rsidRPr="00547415" w:rsidRDefault="00DB066E" w:rsidP="00DB066E">
                        <w:pPr>
                          <w:rPr>
                            <w:i/>
                          </w:rPr>
                        </w:pPr>
                        <w:r>
                          <w:rPr>
                            <w:i/>
                          </w:rPr>
                          <w:t>Ц</w:t>
                        </w:r>
                        <w:r>
                          <w:rPr>
                            <w:i/>
                            <w:vertAlign w:val="subscript"/>
                          </w:rPr>
                          <w:t>2</w:t>
                        </w:r>
                      </w:p>
                    </w:txbxContent>
                  </v:textbox>
                </v:shape>
                <v:shape id="Text Box 105" o:spid="_x0000_s1047" type="#_x0000_t202" style="position:absolute;left:1460;top:9931;width:338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DB066E" w:rsidRPr="00547415" w:rsidRDefault="00DB066E" w:rsidP="00DB066E">
                        <w:pPr>
                          <w:rPr>
                            <w:i/>
                          </w:rPr>
                        </w:pPr>
                        <w:r>
                          <w:rPr>
                            <w:i/>
                          </w:rPr>
                          <w:t>Ц</w:t>
                        </w:r>
                        <w:r w:rsidRPr="00547415">
                          <w:rPr>
                            <w:i/>
                            <w:vertAlign w:val="subscript"/>
                          </w:rPr>
                          <w:t>1</w:t>
                        </w:r>
                      </w:p>
                    </w:txbxContent>
                  </v:textbox>
                </v:shape>
                <v:shape id="Text Box 108" o:spid="_x0000_s1048" type="#_x0000_t202" style="position:absolute;left:1467;top:13239;width:3225;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DB066E" w:rsidRPr="00547415" w:rsidRDefault="00DB066E" w:rsidP="00DB066E">
                        <w:pPr>
                          <w:rPr>
                            <w:i/>
                          </w:rPr>
                        </w:pPr>
                        <w:r>
                          <w:rPr>
                            <w:i/>
                          </w:rPr>
                          <w:t>С</w:t>
                        </w:r>
                        <w:r>
                          <w:rPr>
                            <w:i/>
                            <w:vertAlign w:val="subscript"/>
                          </w:rPr>
                          <w:t>2</w:t>
                        </w:r>
                      </w:p>
                    </w:txbxContent>
                  </v:textbox>
                </v:shape>
                <v:shape id="Text Box 109" o:spid="_x0000_s1049" type="#_x0000_t202" style="position:absolute;left:1492;top:16484;width:3225;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DB066E" w:rsidRPr="00547415" w:rsidRDefault="00DB066E" w:rsidP="00DB066E">
                        <w:pPr>
                          <w:rPr>
                            <w:i/>
                          </w:rPr>
                        </w:pPr>
                        <w:r>
                          <w:rPr>
                            <w:i/>
                          </w:rPr>
                          <w:t>С</w:t>
                        </w:r>
                        <w:r w:rsidRPr="00547415">
                          <w:rPr>
                            <w:i/>
                            <w:vertAlign w:val="subscript"/>
                          </w:rPr>
                          <w:t>1</w:t>
                        </w:r>
                      </w:p>
                    </w:txbxContent>
                  </v:textbox>
                </v:shape>
                <v:shape id="Straight Arrow Connector 110" o:spid="_x0000_s1050" type="#_x0000_t32" style="position:absolute;left:20614;top:15078;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Предельная выручка, а именно выручка от продажи дополнительной единицы товара, при снижающемся спросе будет равна 100 - 2</w:t>
      </w:r>
      <w:r w:rsidRPr="004436FA">
        <w:rPr>
          <w:rFonts w:ascii="Times New Roman" w:hAnsi="Times New Roman" w:cs="Times New Roman"/>
          <w:i/>
          <w:sz w:val="28"/>
          <w:szCs w:val="28"/>
        </w:rPr>
        <w:t>П</w:t>
      </w:r>
      <w:r w:rsidRPr="004436FA">
        <w:rPr>
          <w:rFonts w:ascii="Times New Roman" w:hAnsi="Times New Roman" w:cs="Times New Roman"/>
          <w:sz w:val="28"/>
          <w:szCs w:val="28"/>
        </w:rPr>
        <w:t>.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Предположим, что первоначальная себестоимость производства равна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20 руб./ед. Данная себестоимость складывается из фонда заработной платы в 5 руб. и из стоимости сырья в 15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20,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40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Допустим теперь, что картельное соглашение на рынке верхнего передела приводит к росту единицы сырья с 15 до 35 руб./ед., что ведет к росту себестоимости до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40,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30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несмотря на то, что оно является монополистом и, возможно, обладает существенной рыночной властью.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антиконкурентный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9" w:name="_Ref406684124"/>
      <w:bookmarkStart w:id="60" w:name="_Toc487536234"/>
      <w:r w:rsidRPr="004436FA">
        <w:rPr>
          <w:rFonts w:ascii="Times New Roman" w:hAnsi="Times New Roman"/>
          <w:color w:val="auto"/>
          <w:sz w:val="28"/>
          <w:szCs w:val="28"/>
        </w:rPr>
        <w:t>3.3. Модельные примеры расчета убытков, эффектов завышенных цен, упущенных объемов и переноса издержек</w:t>
      </w:r>
      <w:bookmarkEnd w:id="59"/>
      <w:r w:rsidRPr="004436FA">
        <w:rPr>
          <w:rFonts w:ascii="Times New Roman" w:hAnsi="Times New Roman"/>
          <w:color w:val="auto"/>
          <w:sz w:val="28"/>
          <w:szCs w:val="28"/>
        </w:rPr>
        <w:t>.</w:t>
      </w:r>
      <w:bookmarkEnd w:id="6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расчет убытков, вызванных установлением необоснованно высоких цен, проводится следующим образом:</w:t>
      </w:r>
    </w:p>
    <w:p w:rsidR="00DB066E" w:rsidRPr="004436FA" w:rsidRDefault="00DB066E" w:rsidP="00DB066E">
      <w:pPr>
        <w:pStyle w:val="ConsPlusNormal"/>
        <w:numPr>
          <w:ilvl w:val="0"/>
          <w:numId w:val="36"/>
        </w:numPr>
        <w:tabs>
          <w:tab w:val="left" w:pos="851"/>
        </w:tabs>
        <w:ind w:left="0" w:firstLine="709"/>
        <w:jc w:val="both"/>
      </w:pPr>
      <w:r w:rsidRPr="004436FA">
        <w:t xml:space="preserve">Вначале рассчитывается, насколько цена в период нарушения превысила ту цену, которая могла бы установиться при отсутствии нарушения. </w:t>
      </w:r>
    </w:p>
    <w:p w:rsidR="00DB066E" w:rsidRPr="004436FA" w:rsidRDefault="00DB066E" w:rsidP="00DB066E">
      <w:pPr>
        <w:pStyle w:val="ConsPlusNormal"/>
        <w:numPr>
          <w:ilvl w:val="0"/>
          <w:numId w:val="36"/>
        </w:numPr>
        <w:tabs>
          <w:tab w:val="left" w:pos="851"/>
        </w:tabs>
        <w:ind w:left="0" w:firstLine="709"/>
        <w:jc w:val="both"/>
      </w:pPr>
      <w:r w:rsidRPr="004436FA">
        <w:t>Умножая разницу между данными ценами на объем производства в период нарушения, мы получаем убытки, понесенные за счет завышенных цен.</w:t>
      </w:r>
    </w:p>
    <w:p w:rsidR="00DB066E" w:rsidRPr="004436FA" w:rsidRDefault="00DB066E" w:rsidP="00DB066E">
      <w:pPr>
        <w:pStyle w:val="ConsPlusNormal"/>
        <w:numPr>
          <w:ilvl w:val="0"/>
          <w:numId w:val="36"/>
        </w:numPr>
        <w:tabs>
          <w:tab w:val="left" w:pos="851"/>
        </w:tabs>
        <w:ind w:left="0" w:firstLine="709"/>
        <w:jc w:val="both"/>
      </w:pPr>
      <w:r w:rsidRPr="004436FA">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DB066E" w:rsidRPr="004436FA" w:rsidRDefault="00DB066E" w:rsidP="00DB066E">
      <w:pPr>
        <w:pStyle w:val="ConsPlusNormal"/>
        <w:numPr>
          <w:ilvl w:val="0"/>
          <w:numId w:val="36"/>
        </w:numPr>
        <w:tabs>
          <w:tab w:val="left" w:pos="851"/>
        </w:tabs>
        <w:ind w:left="0" w:firstLine="709"/>
        <w:jc w:val="both"/>
      </w:pPr>
      <w:r w:rsidRPr="004436FA">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 </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b w:val="0"/>
          <w:sz w:val="28"/>
          <w:szCs w:val="28"/>
        </w:rP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 ценового сговора себестоимость продукта А производства АО «Компания 1» составляла С</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48 тыс. руб./тонну. При этом АО «Компания 1» отпускала свой продукт по цене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и ее годовой объем продаж составлял П</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 млн. тонн. Годовая прибыль, соответственно, была равна 66 млрд. руб. = (59 тыс. – 48 тыс.) * 6 млн.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Предположим, что в результате ценового картельного сговора себестоимость возросла на 2 тыс. руб. и достигла С</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50 тыс. руб./тонну. АО «Компания 1» сочло целесообразным поднять собственную отпускную цену на 1 тыс. руб., так что новая цена составила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 млн. тонн в год. Новая прибыль составила 50 млрд. руб.</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7BC35633" wp14:editId="0FCED40C">
                <wp:extent cx="6365240" cy="3668395"/>
                <wp:effectExtent l="3810" t="3175" r="3175" b="0"/>
                <wp:docPr id="6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62"/>
                        <wps:cNvSpPr>
                          <a:spLocks noChangeArrowheads="1"/>
                        </wps:cNvSpPr>
                        <wps:spPr bwMode="auto">
                          <a:xfrm>
                            <a:off x="442703" y="1504839"/>
                            <a:ext cx="927706" cy="7280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19" name="Rectangle 34"/>
                        <wps:cNvSpPr>
                          <a:spLocks noChangeArrowheads="1"/>
                        </wps:cNvSpPr>
                        <wps:spPr bwMode="auto">
                          <a:xfrm>
                            <a:off x="3102019" y="1340835"/>
                            <a:ext cx="777305" cy="164004"/>
                          </a:xfrm>
                          <a:prstGeom prst="rect">
                            <a:avLst/>
                          </a:prstGeom>
                          <a:pattFill prst="ltVert">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0" name="Rectangle 33"/>
                        <wps:cNvSpPr>
                          <a:spLocks noChangeArrowheads="1"/>
                        </wps:cNvSpPr>
                        <wps:spPr bwMode="auto">
                          <a:xfrm>
                            <a:off x="3102119" y="1924350"/>
                            <a:ext cx="776405" cy="304808"/>
                          </a:xfrm>
                          <a:prstGeom prst="rect">
                            <a:avLst/>
                          </a:prstGeom>
                          <a:pattFill prst="openDmnd">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1" name="Rectangle 32"/>
                        <wps:cNvSpPr>
                          <a:spLocks noChangeArrowheads="1"/>
                        </wps:cNvSpPr>
                        <wps:spPr bwMode="auto">
                          <a:xfrm>
                            <a:off x="3879224" y="1501439"/>
                            <a:ext cx="150101" cy="7277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2" name="Straight Arrow Connector 3"/>
                        <wps:cNvCnPr>
                          <a:cxnSpLocks noChangeShapeType="1"/>
                        </wps:cNvCnPr>
                        <wps:spPr bwMode="auto">
                          <a:xfrm flipV="1">
                            <a:off x="442703" y="2410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5"/>
                        <wps:cNvCnPr>
                          <a:cxnSpLocks noChangeShapeType="1"/>
                        </wps:cNvCnPr>
                        <wps:spPr bwMode="auto">
                          <a:xfrm>
                            <a:off x="323402" y="2527765"/>
                            <a:ext cx="23293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Connector 9"/>
                        <wps:cNvCnPr/>
                        <wps:spPr bwMode="auto">
                          <a:xfrm>
                            <a:off x="442703" y="515213"/>
                            <a:ext cx="1888212" cy="2010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11"/>
                        <wps:cNvCnPr/>
                        <wps:spPr bwMode="auto">
                          <a:xfrm>
                            <a:off x="442803" y="2232858"/>
                            <a:ext cx="1612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12"/>
                        <wps:cNvCnPr/>
                        <wps:spPr bwMode="auto">
                          <a:xfrm>
                            <a:off x="442803" y="1927650"/>
                            <a:ext cx="13269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14"/>
                        <wps:cNvCnPr/>
                        <wps:spPr bwMode="auto">
                          <a:xfrm>
                            <a:off x="442803" y="1344235"/>
                            <a:ext cx="77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15"/>
                        <wps:cNvCnPr/>
                        <wps:spPr bwMode="auto">
                          <a:xfrm>
                            <a:off x="442803" y="1504839"/>
                            <a:ext cx="927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8"/>
                        <wps:cNvSpPr txBox="1">
                          <a:spLocks noChangeArrowheads="1"/>
                        </wps:cNvSpPr>
                        <wps:spPr bwMode="auto">
                          <a:xfrm>
                            <a:off x="150501" y="1801447"/>
                            <a:ext cx="324502" cy="24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0" name="Text Box 18"/>
                        <wps:cNvSpPr txBox="1">
                          <a:spLocks noChangeArrowheads="1"/>
                        </wps:cNvSpPr>
                        <wps:spPr bwMode="auto">
                          <a:xfrm>
                            <a:off x="150501" y="2103154"/>
                            <a:ext cx="323202" cy="24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1" name="Text Box 18"/>
                        <wps:cNvSpPr txBox="1">
                          <a:spLocks noChangeArrowheads="1"/>
                        </wps:cNvSpPr>
                        <wps:spPr bwMode="auto">
                          <a:xfrm>
                            <a:off x="0"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32" name="Text Box 18"/>
                        <wps:cNvSpPr txBox="1">
                          <a:spLocks noChangeArrowheads="1"/>
                        </wps:cNvSpPr>
                        <wps:spPr bwMode="auto">
                          <a:xfrm>
                            <a:off x="1652910" y="25501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33" name="Straight Connector 27"/>
                        <wps:cNvCnPr/>
                        <wps:spPr bwMode="auto">
                          <a:xfrm>
                            <a:off x="1220008" y="1344235"/>
                            <a:ext cx="0" cy="1183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28"/>
                        <wps:cNvCnPr/>
                        <wps:spPr bwMode="auto">
                          <a:xfrm>
                            <a:off x="1370509" y="1504839"/>
                            <a:ext cx="0" cy="1022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8"/>
                        <wps:cNvSpPr txBox="1">
                          <a:spLocks noChangeArrowheads="1"/>
                        </wps:cNvSpPr>
                        <wps:spPr bwMode="auto">
                          <a:xfrm>
                            <a:off x="1057907" y="2525365"/>
                            <a:ext cx="3245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6" name="Text Box 18"/>
                        <wps:cNvSpPr txBox="1">
                          <a:spLocks noChangeArrowheads="1"/>
                        </wps:cNvSpPr>
                        <wps:spPr bwMode="auto">
                          <a:xfrm>
                            <a:off x="1238908" y="2524765"/>
                            <a:ext cx="3226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7" name="Rectangle 35"/>
                        <wps:cNvSpPr>
                          <a:spLocks noChangeArrowheads="1"/>
                        </wps:cNvSpPr>
                        <wps:spPr bwMode="auto">
                          <a:xfrm>
                            <a:off x="2985919" y="2878575"/>
                            <a:ext cx="360002" cy="180005"/>
                          </a:xfrm>
                          <a:prstGeom prst="rect">
                            <a:avLst/>
                          </a:prstGeom>
                          <a:pattFill prst="ltVert">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38" name="Rectangle 36"/>
                        <wps:cNvSpPr>
                          <a:spLocks noChangeArrowheads="1"/>
                        </wps:cNvSpPr>
                        <wps:spPr bwMode="auto">
                          <a:xfrm>
                            <a:off x="2985919" y="3121581"/>
                            <a:ext cx="360002" cy="1800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Pr="00B355C2" w:rsidRDefault="00DB066E" w:rsidP="00DB066E"/>
                          </w:txbxContent>
                        </wps:txbx>
                        <wps:bodyPr rot="0" vert="horz" wrap="square" lIns="91440" tIns="45720" rIns="91440" bIns="45720" anchor="ctr" anchorCtr="0" upright="1">
                          <a:noAutofit/>
                        </wps:bodyPr>
                      </wps:wsp>
                      <wps:wsp>
                        <wps:cNvPr id="39" name="Rectangle 37"/>
                        <wps:cNvSpPr>
                          <a:spLocks noChangeArrowheads="1"/>
                        </wps:cNvSpPr>
                        <wps:spPr bwMode="auto">
                          <a:xfrm>
                            <a:off x="2985919" y="3376487"/>
                            <a:ext cx="360002" cy="180005"/>
                          </a:xfrm>
                          <a:prstGeom prst="rect">
                            <a:avLst/>
                          </a:prstGeom>
                          <a:pattFill prst="openDmnd">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40" name="Text Box 18"/>
                        <wps:cNvSpPr txBox="1">
                          <a:spLocks noChangeArrowheads="1"/>
                        </wps:cNvSpPr>
                        <wps:spPr bwMode="auto">
                          <a:xfrm>
                            <a:off x="3349021" y="2840974"/>
                            <a:ext cx="205671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wps:txbx>
                        <wps:bodyPr rot="0" vert="horz" wrap="none" lIns="91440" tIns="45720" rIns="91440" bIns="45720" anchor="t" anchorCtr="0" upright="1">
                          <a:noAutofit/>
                        </wps:bodyPr>
                      </wps:wsp>
                      <wps:wsp>
                        <wps:cNvPr id="41" name="Text Box 18"/>
                        <wps:cNvSpPr txBox="1">
                          <a:spLocks noChangeArrowheads="1"/>
                        </wps:cNvSpPr>
                        <wps:spPr bwMode="auto">
                          <a:xfrm>
                            <a:off x="3346421" y="3098780"/>
                            <a:ext cx="2281514"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объемов </w:t>
                              </w:r>
                              <w:r>
                                <w:rPr>
                                  <w:rFonts w:ascii="Arial" w:eastAsia="Calibri" w:hAnsi="Arial"/>
                                  <w:spacing w:val="-10"/>
                                  <w:sz w:val="18"/>
                                  <w:szCs w:val="18"/>
                                </w:rPr>
                                <w:t xml:space="preserve"> </w:t>
                              </w:r>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wps:txbx>
                        <wps:bodyPr rot="0" vert="horz" wrap="none" lIns="91440" tIns="45720" rIns="91440" bIns="45720" anchor="t" anchorCtr="0" upright="1">
                          <a:noAutofit/>
                        </wps:bodyPr>
                      </wps:wsp>
                      <wps:wsp>
                        <wps:cNvPr id="42" name="Text Box 18"/>
                        <wps:cNvSpPr txBox="1">
                          <a:spLocks noChangeArrowheads="1"/>
                        </wps:cNvSpPr>
                        <wps:spPr bwMode="auto">
                          <a:xfrm>
                            <a:off x="3353421" y="3355387"/>
                            <a:ext cx="2080913"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wps:txbx>
                        <wps:bodyPr rot="0" vert="horz" wrap="none" lIns="91440" tIns="45720" rIns="91440" bIns="45720" anchor="t" anchorCtr="0" upright="1">
                          <a:noAutofit/>
                        </wps:bodyPr>
                      </wps:wsp>
                      <wps:wsp>
                        <wps:cNvPr id="43" name="Text Box 18"/>
                        <wps:cNvSpPr txBox="1">
                          <a:spLocks noChangeArrowheads="1"/>
                        </wps:cNvSpPr>
                        <wps:spPr bwMode="auto">
                          <a:xfrm>
                            <a:off x="151101" y="1221732"/>
                            <a:ext cx="327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44" name="Text Box 18"/>
                        <wps:cNvSpPr txBox="1">
                          <a:spLocks noChangeArrowheads="1"/>
                        </wps:cNvSpPr>
                        <wps:spPr bwMode="auto">
                          <a:xfrm>
                            <a:off x="151101" y="1392536"/>
                            <a:ext cx="325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wps:txbx>
                        <wps:bodyPr rot="0" vert="horz" wrap="none" lIns="91440" tIns="45720" rIns="91440" bIns="45720" anchor="t" anchorCtr="0" upright="1">
                          <a:noAutofit/>
                        </wps:bodyPr>
                      </wps:wsp>
                      <wps:wsp>
                        <wps:cNvPr id="45" name="Straight Arrow Connector 45"/>
                        <wps:cNvCnPr>
                          <a:cxnSpLocks noChangeShapeType="1"/>
                        </wps:cNvCnPr>
                        <wps:spPr bwMode="auto">
                          <a:xfrm flipV="1">
                            <a:off x="3102919" y="2378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a:off x="2983519" y="2524465"/>
                            <a:ext cx="23292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Connector 47"/>
                        <wps:cNvCnPr/>
                        <wps:spPr bwMode="auto">
                          <a:xfrm>
                            <a:off x="3102919" y="511513"/>
                            <a:ext cx="1887912" cy="2010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48"/>
                        <wps:cNvCnPr/>
                        <wps:spPr bwMode="auto">
                          <a:xfrm>
                            <a:off x="3102919" y="2229158"/>
                            <a:ext cx="161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49"/>
                        <wps:cNvCnPr/>
                        <wps:spPr bwMode="auto">
                          <a:xfrm>
                            <a:off x="3102919" y="1924350"/>
                            <a:ext cx="1326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50"/>
                        <wps:cNvCnPr/>
                        <wps:spPr bwMode="auto">
                          <a:xfrm>
                            <a:off x="3102919" y="1340835"/>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51"/>
                        <wps:cNvCnPr/>
                        <wps:spPr bwMode="auto">
                          <a:xfrm>
                            <a:off x="3102919" y="1501439"/>
                            <a:ext cx="927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8"/>
                        <wps:cNvSpPr txBox="1">
                          <a:spLocks noChangeArrowheads="1"/>
                        </wps:cNvSpPr>
                        <wps:spPr bwMode="auto">
                          <a:xfrm>
                            <a:off x="2646717"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53" name="Text Box 18"/>
                        <wps:cNvSpPr txBox="1">
                          <a:spLocks noChangeArrowheads="1"/>
                        </wps:cNvSpPr>
                        <wps:spPr bwMode="auto">
                          <a:xfrm>
                            <a:off x="4319927" y="25456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54" name="Straight Connector 56"/>
                        <wps:cNvCnPr/>
                        <wps:spPr bwMode="auto">
                          <a:xfrm>
                            <a:off x="3880124" y="1340835"/>
                            <a:ext cx="0" cy="11830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57"/>
                        <wps:cNvCnPr/>
                        <wps:spPr bwMode="auto">
                          <a:xfrm>
                            <a:off x="4030625" y="1501439"/>
                            <a:ext cx="0" cy="1022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4"/>
                        <wps:cNvSpPr>
                          <a:spLocks noChangeArrowheads="1"/>
                        </wps:cNvSpPr>
                        <wps:spPr bwMode="auto">
                          <a:xfrm>
                            <a:off x="442603" y="1344235"/>
                            <a:ext cx="777305" cy="5834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Rectangle 63"/>
                        <wps:cNvSpPr>
                          <a:spLocks noChangeArrowheads="1"/>
                        </wps:cNvSpPr>
                        <wps:spPr bwMode="auto">
                          <a:xfrm>
                            <a:off x="323402" y="2878775"/>
                            <a:ext cx="359402" cy="17970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8" name="Rectangle 64"/>
                        <wps:cNvSpPr>
                          <a:spLocks noChangeArrowheads="1"/>
                        </wps:cNvSpPr>
                        <wps:spPr bwMode="auto">
                          <a:xfrm>
                            <a:off x="323402" y="3264085"/>
                            <a:ext cx="359402" cy="1797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9" name="Text Box 18"/>
                        <wps:cNvSpPr txBox="1">
                          <a:spLocks noChangeArrowheads="1"/>
                        </wps:cNvSpPr>
                        <wps:spPr bwMode="auto">
                          <a:xfrm>
                            <a:off x="688304" y="2819373"/>
                            <a:ext cx="1587510" cy="443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(50 млрд.)</w:t>
                              </w:r>
                            </w:p>
                          </w:txbxContent>
                        </wps:txbx>
                        <wps:bodyPr rot="0" vert="horz" wrap="none" lIns="91440" tIns="45720" rIns="91440" bIns="45720" anchor="t" anchorCtr="0" upright="1">
                          <a:noAutofit/>
                        </wps:bodyPr>
                      </wps:wsp>
                      <wps:wsp>
                        <wps:cNvPr id="60" name="Text Box 18"/>
                        <wps:cNvSpPr txBox="1">
                          <a:spLocks noChangeArrowheads="1"/>
                        </wps:cNvSpPr>
                        <wps:spPr bwMode="auto">
                          <a:xfrm>
                            <a:off x="689004" y="3231484"/>
                            <a:ext cx="1636410" cy="42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(66 млрд.)</w:t>
                              </w:r>
                            </w:p>
                          </w:txbxContent>
                        </wps:txbx>
                        <wps:bodyPr rot="0" vert="horz" wrap="none" lIns="91440" tIns="45720" rIns="91440" bIns="45720" anchor="t" anchorCtr="0" upright="1">
                          <a:noAutofit/>
                        </wps:bodyPr>
                      </wps:wsp>
                      <wps:wsp>
                        <wps:cNvPr id="61" name="Text Box 18"/>
                        <wps:cNvSpPr txBox="1">
                          <a:spLocks noChangeArrowheads="1"/>
                        </wps:cNvSpPr>
                        <wps:spPr bwMode="auto">
                          <a:xfrm>
                            <a:off x="2832718" y="1801447"/>
                            <a:ext cx="324502" cy="26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2" name="Text Box 18"/>
                        <wps:cNvSpPr txBox="1">
                          <a:spLocks noChangeArrowheads="1"/>
                        </wps:cNvSpPr>
                        <wps:spPr bwMode="auto">
                          <a:xfrm>
                            <a:off x="2835318" y="2103154"/>
                            <a:ext cx="323202" cy="27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3" name="Text Box 18"/>
                        <wps:cNvSpPr txBox="1">
                          <a:spLocks noChangeArrowheads="1"/>
                        </wps:cNvSpPr>
                        <wps:spPr bwMode="auto">
                          <a:xfrm>
                            <a:off x="3722323" y="2524765"/>
                            <a:ext cx="324502" cy="29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4" name="Text Box 18"/>
                        <wps:cNvSpPr txBox="1">
                          <a:spLocks noChangeArrowheads="1"/>
                        </wps:cNvSpPr>
                        <wps:spPr bwMode="auto">
                          <a:xfrm>
                            <a:off x="3904625" y="2525365"/>
                            <a:ext cx="322602" cy="26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5" name="Text Box 18"/>
                        <wps:cNvSpPr txBox="1">
                          <a:spLocks noChangeArrowheads="1"/>
                        </wps:cNvSpPr>
                        <wps:spPr bwMode="auto">
                          <a:xfrm>
                            <a:off x="2816218" y="1222332"/>
                            <a:ext cx="327002" cy="278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6" name="Text Box 18"/>
                        <wps:cNvSpPr txBox="1">
                          <a:spLocks noChangeArrowheads="1"/>
                        </wps:cNvSpPr>
                        <wps:spPr bwMode="auto">
                          <a:xfrm>
                            <a:off x="2817518" y="1392536"/>
                            <a:ext cx="325102" cy="328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wps:txbx>
                        <wps:bodyPr rot="0" vert="horz" wrap="none" lIns="91440" tIns="45720" rIns="91440" bIns="45720" anchor="t" anchorCtr="0" upright="1">
                          <a:noAutofit/>
                        </wps:bodyPr>
                      </wps:wsp>
                    </wpc:wpc>
                  </a:graphicData>
                </a:graphic>
              </wp:inline>
            </w:drawing>
          </mc:Choice>
          <mc:Fallback>
            <w:pict>
              <v:group w14:anchorId="7BC35633" id="Canvas 2" o:spid="_x0000_s1051" editas="canvas" style="width:501.2pt;height:288.85pt;mso-position-horizontal-relative:char;mso-position-vertical-relative:line" coordsize="63652,3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">
                <v:shape id="_x0000_s1052" type="#_x0000_t75" style="position:absolute;width:63652;height:36683;visibility:visible;mso-wrap-style:square">
                  <v:fill o:detectmouseclick="t"/>
                  <v:path o:connecttype="none"/>
                </v:shape>
                <v:rect id="Rectangle 62" o:spid="_x0000_s1053" style="position:absolute;left:4427;top:15048;width:9277;height:7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FbMMA&#10;AADbAAAADwAAAGRycy9kb3ducmV2LnhtbESPQWvCQBCF70L/wzKF3nSjh7ZEV5FCJdBctIIex+yY&#10;BLOzS3Y16b/vHAq9zfDevPfNajO6Tj2oj61nA/NZBoq48rbl2sDx+3P6DiomZIudZzLwQxE266fJ&#10;CnPrB97T45BqJSEcczTQpBRyrWPVkMM484FYtKvvHSZZ+1rbHgcJd51eZNmrdtiyNDQY6KOh6na4&#10;OwP3Mgy4e6uL8jwvTuV1fyEOX8a8PI/bJahEY/o3/10X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FbMMAAADbAAAADwAAAAAAAAAAAAAAAACYAgAAZHJzL2Rv&#10;d25yZXYueG1sUEsFBgAAAAAEAAQA9QAAAIgDAAAAAA==&#10;" fillcolor="black" stroked="f" strokeweight="2pt">
                  <v:fill r:id="rId53" o:title="" type="pattern"/>
                  <v:textbox>
                    <w:txbxContent>
                      <w:p w:rsidR="00DB066E" w:rsidRDefault="00DB066E" w:rsidP="00DB066E"/>
                    </w:txbxContent>
                  </v:textbox>
                </v:rect>
                <v:rect id="Rectangle 34" o:spid="_x0000_s1054" style="position:absolute;left:31020;top:13408;width:7773;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L2MIA&#10;AADbAAAADwAAAGRycy9kb3ducmV2LnhtbERPS2vCQBC+F/wPywi91Y0eUpu6iogWyUGoCr1Os2Oy&#10;mJ0N2c3Df98tFHqbj+85q81oa9FT641jBfNZAoK4cNpwqeB6ObwsQfiArLF2TAoe5GGznjytMNNu&#10;4E/qz6EUMYR9hgqqEJpMSl9UZNHPXEMcuZtrLYYI21LqFocYbmu5SJJUWjQcGypsaFdRcT93VkH+&#10;bb5y3TXdx+lUH/aX5fU1NXulnqfj9h1EoDH8i//cRx3nv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YwgAAANsAAAAPAAAAAAAAAAAAAAAAAJgCAABkcnMvZG93&#10;bnJldi54bWxQSwUGAAAAAAQABAD1AAAAhwMAAAAA&#10;" fillcolor="black" stroked="f" strokeweight="2pt">
                  <v:fill r:id="rId54" o:title="" type="pattern"/>
                  <v:textbox>
                    <w:txbxContent>
                      <w:p w:rsidR="00DB066E" w:rsidRDefault="00DB066E" w:rsidP="00DB066E"/>
                    </w:txbxContent>
                  </v:textbox>
                </v:rect>
                <v:rect id="Rectangle 33" o:spid="_x0000_s1055" style="position:absolute;left:31021;top:19243;width:7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wfMAA&#10;AADbAAAADwAAAGRycy9kb3ducmV2LnhtbERPz2vCMBS+D/wfwhO8zVQPZVSjiKAIU9iqeH42z6TY&#10;vJQms/W/Xw6DHT++38v14BrxpC7UnhXMphkI4srrmo2Cy3n3/gEiRGSNjWdS8KIA69XobYmF9j1/&#10;07OMRqQQDgUqsDG2hZShsuQwTH1LnLi77xzGBDsjdYd9CneNnGdZLh3WnBostrS1VD3KH6dgW34d&#10;96Y3/aXOd7m9Xd2nOV2VmoyHzQJEpCH+i//cB61gnt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wfMAAAADbAAAADwAAAAAAAAAAAAAAAACYAgAAZHJzL2Rvd25y&#10;ZXYueG1sUEsFBgAAAAAEAAQA9QAAAIUDAAAAAA==&#10;" fillcolor="black" stroked="f" strokeweight="2pt">
                  <v:fill r:id="rId55" o:title="" type="pattern"/>
                  <v:textbox>
                    <w:txbxContent>
                      <w:p w:rsidR="00DB066E" w:rsidRDefault="00DB066E" w:rsidP="00DB066E"/>
                    </w:txbxContent>
                  </v:textbox>
                </v:rect>
                <v:rect id="Rectangle 32" o:spid="_x0000_s1056" style="position:absolute;left:38792;top:15014;width:1501;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mTMMA&#10;AADbAAAADwAAAGRycy9kb3ducmV2LnhtbESPQWvCQBSE7wX/w/IEb3UTD7ZEVxHBEmguWkGPz+wz&#10;CWbfLtnVxH/vFgo9DjPzDbNcD6YVD+p8Y1lBOk1AEJdWN1wpOP7s3j9B+ICssbVMCp7kYb0avS0x&#10;07bnPT0OoRIRwj5DBXUILpPSlzUZ9FPriKN3tZ3BEGVXSd1hH+GmlbMkmUuDDceFGh1taypvh7tR&#10;cC9cj18fVV6c0/xUXPcXYvet1GQ8bBYgAg3hP/zXzrWC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mTMMAAADbAAAADwAAAAAAAAAAAAAAAACYAgAAZHJzL2Rv&#10;d25yZXYueG1sUEsFBgAAAAAEAAQA9QAAAIgDAAAAAA==&#10;" fillcolor="black" stroked="f" strokeweight="2pt">
                  <v:fill r:id="rId53" o:title="" type="pattern"/>
                </v:rect>
                <v:shape id="Straight Arrow Connector 3" o:spid="_x0000_s1057" type="#_x0000_t32" style="position:absolute;left:4427;top:2410;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5" o:spid="_x0000_s1058" type="#_x0000_t32" style="position:absolute;left:3234;top:25277;width:23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Straight Connector 9" o:spid="_x0000_s1059" style="position:absolute;visibility:visible;mso-wrap-style:square" from="4427,5152" to="2330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1" o:spid="_x0000_s1060" style="position:absolute;visibility:visible;mso-wrap-style:square" from="4428,22328" to="20554,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12" o:spid="_x0000_s1061" style="position:absolute;visibility:visible;mso-wrap-style:square" from="4428,19276" to="17697,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14" o:spid="_x0000_s1062" style="position:absolute;visibility:visible;mso-wrap-style:square" from="4428,13442" to="12200,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5" o:spid="_x0000_s1063" style="position:absolute;visibility:visible;mso-wrap-style:square" from="4428,15048" to="13705,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8" o:spid="_x0000_s1064" type="#_x0000_t202" style="position:absolute;left:1505;top:18014;width:3245;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v:textbox>
                </v:shape>
                <v:shape id="Text Box 18" o:spid="_x0000_s1065" type="#_x0000_t202" style="position:absolute;left:1505;top:21031;width:323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v:textbox>
                </v:shape>
                <v:shape id="Text Box 18" o:spid="_x0000_s1066" type="#_x0000_t202" style="position:absolute;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67" type="#_x0000_t202" style="position:absolute;left:16529;top:25501;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27" o:spid="_x0000_s1068" style="position:absolute;visibility:visible;mso-wrap-style:square" from="12200,13442" to="12200,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28" o:spid="_x0000_s1069" style="position:absolute;visibility:visible;mso-wrap-style:square" from="13705,15048" to="13705,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8" o:spid="_x0000_s1070" type="#_x0000_t202" style="position:absolute;left:10579;top:25253;width:324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v:textbox>
                </v:shape>
                <v:shape id="Text Box 18" o:spid="_x0000_s1071" type="#_x0000_t202" style="position:absolute;left:12389;top:25247;width:322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v:textbox>
                </v:shape>
                <v:rect id="Rectangle 35" o:spid="_x0000_s1072" style="position:absolute;left:29859;top:2878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RsQA&#10;AADbAAAADwAAAGRycy9kb3ducmV2LnhtbESP0WrCQBRE3wX/YbmCb7qpgobUTahCwUKlGvsBl+w1&#10;CcneDdmtSfv13ULBx2FmzjC7bDStuFPvassKnpYRCOLC6ppLBZ/X10UMwnlkja1lUvBNDrJ0Otlh&#10;ou3AF7rnvhQBwi5BBZX3XSKlKyoy6Ja2Iw7ezfYGfZB9KXWPQ4CbVq6iaCMN1hwWKuzoUFHR5F9G&#10;wennrTnX8XDaD/l67z427w3fYqXms/HlGYSn0T/C/+2jVrD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r0bEAAAA2wAAAA8AAAAAAAAAAAAAAAAAmAIAAGRycy9k&#10;b3ducmV2LnhtbFBLBQYAAAAABAAEAPUAAACJAwAAAAA=&#10;" fillcolor="black">
                  <v:fill r:id="rId54"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36" o:spid="_x0000_s1073" style="position:absolute;left:29859;top:3121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eab8A&#10;AADbAAAADwAAAGRycy9kb3ducmV2LnhtbERPTYvCMBC9L/gfwgje1lRlRaqxiCB6ccUqiLehGdvS&#10;ZlKaaOu/N4eFPT7e9yrpTS1e1LrSsoLJOAJBnFldcq7getl9L0A4j6yxtkwK3uQgWQ++Vhhr2/GZ&#10;XqnPRQhhF6OCwvsmltJlBRl0Y9sQB+5hW4M+wDaXusUuhJtaTqNoLg2WHBoKbGhbUFalT6PgsPlJ&#10;T7tjfprxnX4jWe078jelRsN+swThqff/4j/3QSuYhb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F5pvwAAANsAAAAPAAAAAAAAAAAAAAAAAJgCAABkcnMvZG93bnJl&#10;di54bWxQSwUGAAAAAAQABAD1AAAAhAMAAAAA&#10;" fillcolor="black">
                  <v:fill r:id="rId53" o:title="" type="pattern"/>
                  <v:textbox>
                    <w:txbxContent>
                      <w:p w:rsidR="00DB066E" w:rsidRPr="00B355C2" w:rsidRDefault="00DB066E" w:rsidP="00DB066E"/>
                    </w:txbxContent>
                  </v:textbox>
                </v:rect>
                <v:rect id="Rectangle 37" o:spid="_x0000_s1074" style="position:absolute;left:29859;top:3376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88sQA&#10;AADbAAAADwAAAGRycy9kb3ducmV2LnhtbESPQWvCQBSE74X+h+UVequbtiAaXaUUhFwKVUO8PrPP&#10;bDD7NuyuMfbXd4VCj8PMfMMs16PtxEA+tI4VvE4yEMS10y03Csr95mUGIkRkjZ1jUnCjAOvV48MS&#10;c+2uvKVhFxuRIBxyVGBi7HMpQ23IYpi4njh5J+ctxiR9I7XHa4LbTr5l2VRabDktGOzp01B93l2s&#10;ApweysoX1U813L4vpjhmX/NNqdTz0/ixABFpjP/hv3ahFbzP4f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PPLEAAAA2wAAAA8AAAAAAAAAAAAAAAAAmAIAAGRycy9k&#10;b3ducmV2LnhtbFBLBQYAAAAABAAEAPUAAACJAwAAAAA=&#10;" fillcolor="black">
                  <v:fill r:id="rId55"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75" type="#_x0000_t202" style="position:absolute;left:33490;top:28409;width:2056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v:textbox>
                </v:shape>
                <v:shape id="Text Box 18" o:spid="_x0000_s1076" type="#_x0000_t202" style="position:absolute;left:33464;top:30987;width:228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w:t>
                        </w:r>
                        <w:proofErr w:type="gramStart"/>
                        <w:r w:rsidRPr="00823E6A">
                          <w:rPr>
                            <w:rFonts w:ascii="Arial" w:eastAsia="Calibri" w:hAnsi="Arial"/>
                            <w:spacing w:val="-10"/>
                            <w:sz w:val="18"/>
                            <w:szCs w:val="18"/>
                          </w:rPr>
                          <w:t xml:space="preserve">объемов </w:t>
                        </w:r>
                        <w:r>
                          <w:rPr>
                            <w:rFonts w:ascii="Arial" w:eastAsia="Calibri" w:hAnsi="Arial"/>
                            <w:spacing w:val="-10"/>
                            <w:sz w:val="18"/>
                            <w:szCs w:val="18"/>
                          </w:rPr>
                          <w:t xml:space="preserve"> </w:t>
                        </w:r>
                        <w:r w:rsidRPr="00823E6A">
                          <w:rPr>
                            <w:rFonts w:ascii="Arial" w:eastAsia="Calibri" w:hAnsi="Arial"/>
                            <w:spacing w:val="-10"/>
                            <w:sz w:val="18"/>
                            <w:szCs w:val="18"/>
                          </w:rPr>
                          <w:t>(</w:t>
                        </w:r>
                        <w:proofErr w:type="gramEnd"/>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v:textbox>
                </v:shape>
                <v:shape id="Text Box 18" o:spid="_x0000_s1077" type="#_x0000_t202" style="position:absolute;left:33534;top:33553;width:2080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v:textbox>
                </v:shape>
                <v:shape id="Text Box 18" o:spid="_x0000_s1078" type="#_x0000_t202" style="position:absolute;left:1511;top:12217;width:32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v:textbox>
                </v:shape>
                <v:shape id="Text Box 18" o:spid="_x0000_s1079" type="#_x0000_t202" style="position:absolute;left:1511;top:13925;width:32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v:textbox>
                </v:shape>
                <v:shape id="Straight Arrow Connector 45" o:spid="_x0000_s1080" type="#_x0000_t32" style="position:absolute;left:31029;top:2378;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46" o:spid="_x0000_s1081" type="#_x0000_t32" style="position:absolute;left:29835;top:25244;width:23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47" o:spid="_x0000_s1082" style="position:absolute;visibility:visible;mso-wrap-style:square" from="31029,5115" to="49908,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83" style="position:absolute;visibility:visible;mso-wrap-style:square" from="31029,22291" to="471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84" style="position:absolute;visibility:visible;mso-wrap-style:square" from="31029,19243" to="44294,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85" style="position:absolute;visibility:visible;mso-wrap-style:square" from="31029,13408" to="387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86" style="position:absolute;visibility:visible;mso-wrap-style:square" from="31029,15014" to="40300,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87" type="#_x0000_t202" style="position:absolute;left:26467;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88" type="#_x0000_t202" style="position:absolute;left:43199;top:25456;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56" o:spid="_x0000_s1089" style="position:absolute;visibility:visible;mso-wrap-style:square" from="38801,13408" to="38801,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Straight Connector 57" o:spid="_x0000_s1090" style="position:absolute;visibility:visible;mso-wrap-style:square" from="40306,15014" to="40306,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 o:spid="_x0000_s1091" style="position:absolute;left:4426;top:13442;width:7773;height:5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XTsQA&#10;AADbAAAADwAAAGRycy9kb3ducmV2LnhtbESPT4vCMBTE74LfIbyFvYimLlakaxQRhL0I/kW8PZq3&#10;bdfmpTbZWr+9EQSPw8z8hpnOW1OKhmpXWFYwHEQgiFOrC84UHPar/gSE88gaS8uk4E4O5rNuZ4qJ&#10;tjfeUrPzmQgQdgkqyL2vEildmpNBN7AVcfB+bW3QB1lnUtd4C3BTyq8oGkuDBYeFHCta5pRedv9G&#10;wWYkL6Osd4yj9fB0jf9WcSGbs1KfH+3iG4Sn1r/Dr/aP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107EAAAA2wAAAA8AAAAAAAAAAAAAAAAAmAIAAGRycy9k&#10;b3ducmV2LnhtbFBLBQYAAAAABAAEAPUAAACJAwAAAAA=&#10;" filled="f" strokeweight="2pt"/>
                <v:rect id="Rectangle 63" o:spid="_x0000_s1092" style="position:absolute;left:3234;top:28787;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1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RL+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y1cYAAADbAAAADwAAAAAAAAAAAAAAAACYAgAAZHJz&#10;L2Rvd25yZXYueG1sUEsFBgAAAAAEAAQA9QAAAIsDAAAAAA==&#10;" filled="f" strokeweight="2pt">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64" o:spid="_x0000_s1093" style="position:absolute;left:3234;top:32640;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7ycEA&#10;AADbAAAADwAAAGRycy9kb3ducmV2LnhtbERPTWuDQBC9B/oflin0Fte2WIJ1lVAIySWRmkLpbXCn&#10;Krqz4m6i+ffZQ6HHx/vOisUM4kqT6ywreI5iEMS11R03Cr7Ou/UGhPPIGgfLpOBGDor8YZVhqu3M&#10;n3StfCNCCLsUFbTej6mUrm7JoIvsSBy4XzsZ9AFOjdQTziHcDPIljt+kwY5DQ4sjfbRU99XFKDhs&#10;k6rcHZvylX/oFMt+P5P/Vurpcdm+g/C0+H/xn/ugFSRhbPg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8nBAAAA2wAAAA8AAAAAAAAAAAAAAAAAmAIAAGRycy9kb3du&#10;cmV2LnhtbFBLBQYAAAAABAAEAPUAAACGAwAAAAA=&#10;" fillcolor="black">
                  <v:fill r:id="rId53"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94" type="#_x0000_t202" style="position:absolute;left:6883;top:28193;width:15875;height:4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(50 млрд.)</w:t>
                        </w:r>
                      </w:p>
                    </w:txbxContent>
                  </v:textbox>
                </v:shape>
                <v:shape id="Text Box 18" o:spid="_x0000_s1095" type="#_x0000_t202" style="position:absolute;left:6890;top:32314;width:16364;height:42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(66 млрд.)</w:t>
                        </w:r>
                      </w:p>
                    </w:txbxContent>
                  </v:textbox>
                </v:shape>
                <v:shape id="Text Box 18" o:spid="_x0000_s1096" type="#_x0000_t202" style="position:absolute;left:28327;top:18014;width:324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v:textbox>
                </v:shape>
                <v:shape id="Text Box 18" o:spid="_x0000_s1097" type="#_x0000_t202" style="position:absolute;left:28353;top:21031;width:323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v:textbox>
                </v:shape>
                <v:shape id="Text Box 18" o:spid="_x0000_s1098" type="#_x0000_t202" style="position:absolute;left:37223;top:25247;width:3245;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v:textbox>
                </v:shape>
                <v:shape id="Text Box 18" o:spid="_x0000_s1099" type="#_x0000_t202" style="position:absolute;left:39046;top:25253;width:3226;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v:textbox>
                </v:shape>
                <v:shape id="Text Box 18" o:spid="_x0000_s1100" type="#_x0000_t202" style="position:absolute;left:28162;top:12223;width:3270;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v:textbox>
                </v:shape>
                <v:shape id="Text Box 18" o:spid="_x0000_s1101" type="#_x0000_t202" style="position:absolute;left:28175;top:13925;width:32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v:textbox>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Общая сумма убытка может быть разложена на три составляющих экономических эффекта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1" w:name="_Ref404954144"/>
      <w:r w:rsidRPr="004436FA">
        <w:rPr>
          <w:rFonts w:ascii="Times New Roman" w:hAnsi="Times New Roman" w:cs="Times New Roman"/>
          <w:sz w:val="28"/>
          <w:szCs w:val="28"/>
        </w:rPr>
        <w:t xml:space="preserve">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Нужно отметить, что незаконные действия производителей продукта Б привели не только к перераспределению прибыли от АО «Компания 1» в их 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антиконкурентное повышение цен наносит обществу б</w:t>
      </w:r>
      <w:r w:rsidRPr="004436FA">
        <w:rPr>
          <w:rFonts w:ascii="Times New Roman" w:hAnsi="Times New Roman" w:cs="Times New Roman"/>
          <w:i/>
          <w:sz w:val="28"/>
          <w:szCs w:val="28"/>
        </w:rPr>
        <w:t>о</w:t>
      </w:r>
      <w:r w:rsidRPr="004436FA">
        <w:rPr>
          <w:rFonts w:ascii="Times New Roman" w:hAnsi="Times New Roman" w:cs="Times New Roman"/>
          <w:sz w:val="28"/>
          <w:szCs w:val="28"/>
        </w:rPr>
        <w:t>льший вред, чем сверх-прибыль нарушителей из-за так называемых безвозвратных экономических потерь.</w:t>
      </w:r>
      <w:r w:rsidRPr="004436FA">
        <w:rPr>
          <w:rStyle w:val="ab"/>
          <w:rFonts w:ascii="Times New Roman" w:hAnsi="Times New Roman" w:cs="Times New Roman"/>
          <w:sz w:val="28"/>
          <w:szCs w:val="28"/>
        </w:rPr>
        <w:footnoteReference w:id="3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Рассмотрим также пример расчета убытков (финансовых потерь) для ситуации с установлением монопольно высокой цены: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Изначально себестоимость товара А производства АО «Компания 1» составляла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15 тыс. руб./ед. а отпускная цена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23 тыс. руб./ед. Годовой объем продаж составлял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5 млн. единиц.</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таких показателях годовая прибыль АО «Компания 1» составляла 40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годовая прибыль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(23 тыс. – 15 тыс.) * 5 млн. ед. = 40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результате увеличения стоимости грузовых перевозок себестоимость товара А возросла на 1800 руб. за единицу и составила 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руб./ед. В связи с этим АО «Компания 1» подняло отпускную цену на 800 руб., новая цена составила Ц</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 А снизился с 5 млн. единиц в год до П2 = 4,5 млн. единиц в год. Новая прибыль составила 31,5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 - 15 тыс. руб.) * 4,5 млн. ед. =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руб.*44,4% = 3,6 млрд. руб. Данная сумма подлежит взысканию в рамках требования о возмещении убытков.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от упущенных объемов подлежат уменьшению на величину дополнительной прибыли от увеличения цены продажи товара и составят 0,4 млрд. руб.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2" w:name="_Ref40668434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3" w:name="_Toc487536235"/>
      <w:r w:rsidRPr="004436FA">
        <w:rPr>
          <w:rFonts w:ascii="Times New Roman" w:hAnsi="Times New Roman"/>
          <w:color w:val="auto"/>
          <w:sz w:val="28"/>
          <w:szCs w:val="28"/>
        </w:rPr>
        <w:t>3.4. Расчет убытков для потребителей, не являющихся непосредственными приобретателями рассматриваемого товара (услуги)</w:t>
      </w:r>
      <w:bookmarkEnd w:id="62"/>
      <w:r w:rsidRPr="004436FA">
        <w:rPr>
          <w:rFonts w:ascii="Times New Roman" w:hAnsi="Times New Roman"/>
          <w:color w:val="auto"/>
          <w:sz w:val="28"/>
          <w:szCs w:val="28"/>
        </w:rPr>
        <w:t>.</w:t>
      </w:r>
      <w:bookmarkEnd w:id="63"/>
      <w:r w:rsidRPr="004436FA">
        <w:rPr>
          <w:rFonts w:ascii="Times New Roman" w:hAnsi="Times New Roman"/>
          <w:color w:val="auto"/>
          <w:sz w:val="28"/>
          <w:szCs w:val="28"/>
        </w:rPr>
        <w:t xml:space="preserve">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4" w:name="_Toc487536236"/>
      <w:r w:rsidRPr="004436FA">
        <w:rPr>
          <w:rFonts w:ascii="Times New Roman" w:hAnsi="Times New Roman"/>
          <w:color w:val="auto"/>
          <w:sz w:val="28"/>
          <w:szCs w:val="28"/>
        </w:rPr>
        <w:t>3.4.1. Покупатели, приобретающие рассматриваемый товар (услугу) у конкурентов нарушителей</w:t>
      </w:r>
      <w:bookmarkEnd w:id="6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w:t>
      </w:r>
      <w:r w:rsidRPr="004436FA">
        <w:rPr>
          <w:rStyle w:val="ab"/>
          <w:rFonts w:ascii="Times New Roman" w:hAnsi="Times New Roman" w:cs="Times New Roman"/>
          <w:sz w:val="28"/>
          <w:szCs w:val="28"/>
        </w:rPr>
        <w:footnoteReference w:id="33"/>
      </w:r>
      <w:r w:rsidRPr="004436FA">
        <w:rPr>
          <w:rFonts w:ascii="Times New Roman" w:hAnsi="Times New Roman" w:cs="Times New Roman"/>
          <w:sz w:val="28"/>
          <w:szCs w:val="28"/>
        </w:rPr>
        <w:t xml:space="preserve"> Произойти это может по нескольким взаимосвязанным причинам.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антиконкурентное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5" w:name="_Toc487536237"/>
      <w:r w:rsidRPr="004436FA">
        <w:rPr>
          <w:rFonts w:ascii="Times New Roman" w:hAnsi="Times New Roman"/>
          <w:color w:val="auto"/>
          <w:sz w:val="28"/>
          <w:szCs w:val="28"/>
        </w:rPr>
        <w:t>3.4.2. Покупатели на рынках нижнего передела (косвенные покупатели)</w:t>
      </w:r>
      <w:bookmarkEnd w:id="65"/>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подраздел 3.2 выше).</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до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62 тыс. руб./тонну, и объем продаж составлял 1 млн. тонн. Рост оптовой цены до 60 тыс. руб./тонну привел к росту розничной цены до РЦ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62,2 тыс. 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поставщикам «АО Компания 1» в размере 1 240 млн. руб., поскольку ценовой сговор последних привел (опосредованно) к повышению цен для АО «Компания 2».</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66" w:name="_Toc487536238"/>
      <w:bookmarkEnd w:id="61"/>
      <w:r w:rsidRPr="004436FA">
        <w:rPr>
          <w:rFonts w:ascii="Times New Roman" w:hAnsi="Times New Roman"/>
          <w:color w:val="auto"/>
        </w:rPr>
        <w:t>4. Расчеты убытков</w:t>
      </w:r>
      <w:r>
        <w:rPr>
          <w:rFonts w:ascii="Times New Roman" w:hAnsi="Times New Roman"/>
          <w:color w:val="auto"/>
        </w:rPr>
        <w:t>,</w:t>
      </w:r>
      <w:r w:rsidRPr="004436FA">
        <w:rPr>
          <w:rFonts w:ascii="Times New Roman" w:hAnsi="Times New Roman"/>
          <w:color w:val="auto"/>
        </w:rPr>
        <w:t xml:space="preserve"> причиненных нарушениями, ограничивающими доступ на товарный рынок, устраняющими хозяйствующих субъектов с рынка (сокращающими их рыночные доли).</w:t>
      </w:r>
      <w:bookmarkEnd w:id="66"/>
    </w:p>
    <w:p w:rsidR="00DB066E" w:rsidRPr="004436FA" w:rsidRDefault="00DB066E" w:rsidP="00DB066E">
      <w:pPr>
        <w:pStyle w:val="2"/>
        <w:spacing w:before="0" w:line="240" w:lineRule="auto"/>
        <w:ind w:firstLine="709"/>
        <w:jc w:val="both"/>
        <w:rPr>
          <w:rFonts w:ascii="Times New Roman" w:hAnsi="Times New Roman"/>
          <w:color w:val="auto"/>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7" w:name="_Toc487536239"/>
      <w:r w:rsidRPr="004436FA">
        <w:rPr>
          <w:rFonts w:ascii="Times New Roman" w:hAnsi="Times New Roman"/>
          <w:color w:val="auto"/>
          <w:sz w:val="28"/>
          <w:szCs w:val="28"/>
        </w:rPr>
        <w:t>4.1. Введение.</w:t>
      </w:r>
      <w:bookmarkEnd w:id="67"/>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r w:rsidRPr="004436FA">
        <w:rPr>
          <w:rStyle w:val="ab"/>
          <w:rFonts w:ascii="Times New Roman" w:hAnsi="Times New Roman" w:cs="Times New Roman"/>
          <w:sz w:val="28"/>
          <w:szCs w:val="28"/>
        </w:rPr>
        <w:footnoteReference w:id="34"/>
      </w:r>
      <w:r w:rsidRPr="004436FA">
        <w:rPr>
          <w:rFonts w:ascii="Times New Roman" w:hAnsi="Times New Roman" w:cs="Times New Roman"/>
          <w:sz w:val="28"/>
          <w:szCs w:val="28"/>
        </w:rPr>
        <w:t xml:space="preserve"> навязывание контрагентам невыгодных условий договоров, недобросовестная конкуренция и др.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8" w:name="_Ref406684785"/>
      <w:bookmarkStart w:id="69" w:name="_Toc487536240"/>
      <w:r w:rsidRPr="004436FA">
        <w:rPr>
          <w:rFonts w:ascii="Times New Roman" w:hAnsi="Times New Roman"/>
          <w:color w:val="auto"/>
          <w:sz w:val="28"/>
          <w:szCs w:val="28"/>
        </w:rPr>
        <w:t>4.2. Оценка убытков для имеющихся конкурентов</w:t>
      </w:r>
      <w:bookmarkEnd w:id="68"/>
      <w:r w:rsidRPr="004436FA">
        <w:rPr>
          <w:rFonts w:ascii="Times New Roman" w:hAnsi="Times New Roman"/>
          <w:color w:val="auto"/>
          <w:sz w:val="28"/>
          <w:szCs w:val="28"/>
        </w:rPr>
        <w:t>.</w:t>
      </w:r>
      <w:bookmarkEnd w:id="6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Эффекты ограничения конкуренции для имеющихся конкурентов могут проявляться по-разному. Например, зак</w:t>
      </w:r>
      <w:r>
        <w:rPr>
          <w:rFonts w:ascii="Times New Roman" w:hAnsi="Times New Roman" w:cs="Times New Roman"/>
          <w:sz w:val="28"/>
          <w:szCs w:val="28"/>
        </w:rPr>
        <w:t>лючение эксклюзивного контракта</w:t>
      </w:r>
      <w:r w:rsidRPr="004436FA">
        <w:rPr>
          <w:rFonts w:ascii="Times New Roman" w:hAnsi="Times New Roman" w:cs="Times New Roman"/>
          <w:sz w:val="28"/>
          <w:szCs w:val="28"/>
        </w:rPr>
        <w:t xml:space="preserve"> с одним дистриб</w:t>
      </w:r>
      <w:r>
        <w:rPr>
          <w:rFonts w:ascii="Times New Roman" w:hAnsi="Times New Roman" w:cs="Times New Roman"/>
          <w:sz w:val="28"/>
          <w:szCs w:val="28"/>
        </w:rPr>
        <w:t>ью</w:t>
      </w:r>
      <w:r w:rsidRPr="004436FA">
        <w:rPr>
          <w:rFonts w:ascii="Times New Roman" w:hAnsi="Times New Roman" w:cs="Times New Roman"/>
          <w:sz w:val="28"/>
          <w:szCs w:val="28"/>
        </w:rPr>
        <w:t>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 отдачи от эффекта масштаба</w:t>
      </w:r>
      <w:r w:rsidRPr="004436FA">
        <w:rPr>
          <w:rStyle w:val="ab"/>
          <w:rFonts w:ascii="Times New Roman" w:hAnsi="Times New Roman" w:cs="Times New Roman"/>
          <w:sz w:val="28"/>
          <w:szCs w:val="28"/>
        </w:rPr>
        <w:footnoteReference w:id="35"/>
      </w:r>
      <w:r w:rsidRPr="004436FA">
        <w:rPr>
          <w:rFonts w:ascii="Times New Roman" w:hAnsi="Times New Roman" w:cs="Times New Roman"/>
          <w:sz w:val="28"/>
          <w:szCs w:val="28"/>
        </w:rPr>
        <w:t xml:space="preserve"> или сетевыми эффектами.</w:t>
      </w:r>
      <w:r w:rsidRPr="004436FA">
        <w:rPr>
          <w:rStyle w:val="ab"/>
          <w:rFonts w:ascii="Times New Roman" w:hAnsi="Times New Roman" w:cs="Times New Roman"/>
          <w:sz w:val="28"/>
          <w:szCs w:val="28"/>
        </w:rPr>
        <w:footnoteReference w:id="36"/>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расчете убытков для имеющихся конкурентов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349"/>
        <w:jc w:val="both"/>
      </w:pPr>
      <w:r w:rsidRPr="004436FA">
        <w:t>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DB066E" w:rsidRPr="004436FA" w:rsidRDefault="00DB066E" w:rsidP="00DB066E">
      <w:pPr>
        <w:pStyle w:val="ConsPlusNormal"/>
        <w:numPr>
          <w:ilvl w:val="0"/>
          <w:numId w:val="36"/>
        </w:numPr>
        <w:tabs>
          <w:tab w:val="left" w:pos="851"/>
        </w:tabs>
        <w:ind w:left="0" w:firstLine="349"/>
        <w:jc w:val="both"/>
      </w:pPr>
      <w:r w:rsidRPr="004436FA">
        <w:t xml:space="preserve">каковы были бы издержки, выручка, прибыль и другие показатели финансовой деятельности пострадавшей стороны,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Ответы на эти вопросы позволяют провести контрфактуальный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Дополнительную значимость для контрфактуального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контрфактуального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результатам контрфактуального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имеющимся конкурентам, рассмотрим следующий пример.</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b/>
          <w:sz w:val="28"/>
          <w:szCs w:val="28"/>
        </w:rPr>
      </w:pPr>
      <w:bookmarkStart w:id="70" w:name="_Ref406684877"/>
      <w:r w:rsidRPr="004436FA">
        <w:rPr>
          <w:rFonts w:ascii="Times New Roman" w:hAnsi="Times New Roman" w:cs="Times New Roman"/>
          <w:b/>
          <w:sz w:val="28"/>
          <w:szCs w:val="28"/>
        </w:rPr>
        <w:t>Необоснованный отказ от поставок ресурса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0CA98B08" wp14:editId="5F476DFF">
                <wp:extent cx="2830830" cy="1701800"/>
                <wp:effectExtent l="2540" t="1905" r="0" b="1270"/>
                <wp:docPr id="7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19"/>
                        <wps:cNvSpPr txBox="1">
                          <a:spLocks noChangeArrowheads="1"/>
                        </wps:cNvSpPr>
                        <wps:spPr bwMode="auto">
                          <a:xfrm>
                            <a:off x="476905" y="55600"/>
                            <a:ext cx="978210"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394B84" w:rsidRDefault="00DB066E" w:rsidP="00DB066E">
                              <w:pPr>
                                <w:pStyle w:val="RBBBodytext"/>
                                <w:jc w:val="center"/>
                              </w:pPr>
                              <w:r>
                                <w:t>Компания</w:t>
                              </w:r>
                              <w:r w:rsidRPr="00823E6A">
                                <w:t xml:space="preserve"> А</w:t>
                              </w:r>
                            </w:p>
                          </w:txbxContent>
                        </wps:txbx>
                        <wps:bodyPr rot="0" vert="horz" wrap="square" lIns="0" tIns="0" rIns="0" bIns="0" anchor="ctr" anchorCtr="0" upright="1">
                          <a:noAutofit/>
                        </wps:bodyPr>
                      </wps:wsp>
                      <wps:wsp>
                        <wps:cNvPr id="4" name="Text Box 19"/>
                        <wps:cNvSpPr txBox="1">
                          <a:spLocks noChangeArrowheads="1"/>
                        </wps:cNvSpPr>
                        <wps:spPr bwMode="auto">
                          <a:xfrm>
                            <a:off x="477205" y="1310500"/>
                            <a:ext cx="2223624"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wps:txbx>
                        <wps:bodyPr rot="0" vert="horz" wrap="square" lIns="0" tIns="0" rIns="0" bIns="0" anchor="t" anchorCtr="0" upright="1">
                          <a:noAutofit/>
                        </wps:bodyPr>
                      </wps:wsp>
                      <wps:wsp>
                        <wps:cNvPr id="10" name="Text Box 19"/>
                        <wps:cNvSpPr txBox="1">
                          <a:spLocks noChangeArrowheads="1"/>
                        </wps:cNvSpPr>
                        <wps:spPr bwMode="auto">
                          <a:xfrm>
                            <a:off x="477105" y="6919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wps:txbx>
                        <wps:bodyPr rot="0" vert="horz" wrap="square" lIns="0" tIns="0" rIns="0" bIns="0" anchor="t" anchorCtr="0" upright="1">
                          <a:noAutofit/>
                        </wps:bodyPr>
                      </wps:wsp>
                      <wps:wsp>
                        <wps:cNvPr id="11" name="Text Box 19"/>
                        <wps:cNvSpPr txBox="1">
                          <a:spLocks noChangeArrowheads="1"/>
                        </wps:cNvSpPr>
                        <wps:spPr bwMode="auto">
                          <a:xfrm>
                            <a:off x="1722718" y="6888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wps:txbx>
                        <wps:bodyPr rot="0" vert="horz" wrap="square" lIns="0" tIns="0" rIns="0" bIns="0" anchor="t" anchorCtr="0" upright="1">
                          <a:noAutofit/>
                        </wps:bodyPr>
                      </wps:wsp>
                      <wps:wsp>
                        <wps:cNvPr id="12" name="Text Box 22"/>
                        <wps:cNvSpPr txBox="1">
                          <a:spLocks noChangeArrowheads="1"/>
                        </wps:cNvSpPr>
                        <wps:spPr bwMode="auto">
                          <a:xfrm>
                            <a:off x="76201" y="380300"/>
                            <a:ext cx="596906" cy="3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 1</w:t>
                              </w:r>
                            </w:p>
                          </w:txbxContent>
                        </wps:txbx>
                        <wps:bodyPr rot="0" vert="horz" wrap="none" lIns="0" tIns="0" rIns="0" bIns="0" anchor="ctr" anchorCtr="0" upright="1">
                          <a:noAutofit/>
                        </wps:bodyPr>
                      </wps:wsp>
                      <wps:wsp>
                        <wps:cNvPr id="13" name="Text Box 22"/>
                        <wps:cNvSpPr txBox="1">
                          <a:spLocks noChangeArrowheads="1"/>
                        </wps:cNvSpPr>
                        <wps:spPr bwMode="auto">
                          <a:xfrm>
                            <a:off x="76201" y="1004600"/>
                            <a:ext cx="596906" cy="30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w:t>
                              </w:r>
                              <w:r>
                                <w:t xml:space="preserve"> 2</w:t>
                              </w:r>
                            </w:p>
                          </w:txbxContent>
                        </wps:txbx>
                        <wps:bodyPr rot="0" vert="horz" wrap="none" lIns="0" tIns="0" rIns="0" bIns="0" anchor="t" anchorCtr="0" upright="1">
                          <a:noAutofit/>
                        </wps:bodyPr>
                      </wps:wsp>
                      <wps:wsp>
                        <wps:cNvPr id="14" name="Straight Arrow Connector 24"/>
                        <wps:cNvCnPr>
                          <a:cxnSpLocks noChangeShapeType="1"/>
                        </wps:cNvCnPr>
                        <wps:spPr bwMode="auto">
                          <a:xfrm>
                            <a:off x="966010" y="361700"/>
                            <a:ext cx="2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30"/>
                        <wps:cNvCnPr>
                          <a:cxnSpLocks noChangeShapeType="1"/>
                        </wps:cNvCnPr>
                        <wps:spPr bwMode="auto">
                          <a:xfrm>
                            <a:off x="966010" y="361700"/>
                            <a:ext cx="756408" cy="32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41"/>
                        <wps:cNvCnPr>
                          <a:cxnSpLocks noChangeShapeType="1"/>
                        </wps:cNvCnPr>
                        <wps:spPr bwMode="auto">
                          <a:xfrm flipH="1">
                            <a:off x="965810" y="998100"/>
                            <a:ext cx="400" cy="31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42"/>
                        <wps:cNvCnPr>
                          <a:cxnSpLocks noChangeShapeType="1"/>
                        </wps:cNvCnPr>
                        <wps:spPr bwMode="auto">
                          <a:xfrm flipH="1">
                            <a:off x="2211423" y="995000"/>
                            <a:ext cx="300" cy="31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CA98B08" id="Canvas 8" o:spid="_x0000_s1102" editas="canvas" style="width:222.9pt;height:134pt;mso-position-horizontal-relative:char;mso-position-vertical-relative:line" coordsize="28308,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">
                <v:shape id="_x0000_s1103" type="#_x0000_t75" style="position:absolute;width:28308;height:17018;visibility:visible;mso-wrap-style:square">
                  <v:fill o:detectmouseclick="t"/>
                  <v:path o:connecttype="none"/>
                </v:shape>
                <v:shape id="Text Box 19" o:spid="_x0000_s1104" type="#_x0000_t202" style="position:absolute;left:4769;top:556;width:9782;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A&#10;AADaAAAADwAAAGRycy9kb3ducmV2LnhtbESPW2sCMRSE3wv+h3CEvtVsLyyyGkWF0gv1QVvfj5tj&#10;snVzsiSprv++KRR8HGa+GWY6710rThRi41nB/agAQVx73bBR8PX5fDcGEROyxtYzKbhQhPlscDPF&#10;Svszb+i0TUbkEo4VKrApdZWUsbbkMI58R5y9gw8OU5bBSB3wnMtdKx+KopQOG84LFjtaWaqP2x+n&#10;4DFc9i9H826WTx+7t0WxLr/tuFTqdtgvJiAS9eka/qdfdebg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MAAADaAAAADwAAAAAAAAAAAAAAAACYAgAAZHJzL2Rv&#10;d25yZXYueG1sUEsFBgAAAAAEAAQA9QAAAIgDAAAAAA==&#10;" filled="f">
                  <v:textbox inset="0,0,0,0">
                    <w:txbxContent>
                      <w:p w:rsidR="00DB066E" w:rsidRPr="00394B84" w:rsidRDefault="00DB066E" w:rsidP="00DB066E">
                        <w:pPr>
                          <w:pStyle w:val="RBBBodytext"/>
                          <w:jc w:val="center"/>
                        </w:pPr>
                        <w:r>
                          <w:t>Компания</w:t>
                        </w:r>
                        <w:r w:rsidRPr="00823E6A">
                          <w:t xml:space="preserve"> А</w:t>
                        </w:r>
                      </w:p>
                    </w:txbxContent>
                  </v:textbox>
                </v:shape>
                <v:shape id="Text Box 19" o:spid="_x0000_s1105" type="#_x0000_t202" style="position:absolute;left:4772;top:13105;width:22236;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v:textbox>
                </v:shape>
                <v:shape id="Text Box 19" o:spid="_x0000_s1106" type="#_x0000_t202" style="position:absolute;left:4771;top:6919;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v:textbox>
                </v:shape>
                <v:shape id="Text Box 19" o:spid="_x0000_s1107" type="#_x0000_t202" style="position:absolute;left:17227;top:6888;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v:textbox>
                </v:shape>
                <v:shape id="Text Box 22" o:spid="_x0000_s1108" type="#_x0000_t202" style="position:absolute;left:762;top:3803;width:5969;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xsIA&#10;AADbAAAADwAAAGRycy9kb3ducmV2LnhtbERPS2vCQBC+F/wPyxR6Ed0opdrUTRAh4MFD6+M+7I5J&#10;aHY2ZFez/fduodDbfHzP2ZTRduJOg28dK1jMMxDE2pmWawXnUzVbg/AB2WDnmBT8kIeymDxtMDdu&#10;5C+6H0MtUgj7HBU0IfS5lF43ZNHPXU+cuKsbLIYEh1qaAccUbju5zLI3abHl1NBgT7uG9PfxZhVc&#10;9EpPY7XHXazXn9vr661/P0yVenmO2w8QgWL4F/+59ybNX8LvL+k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jG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 1</w:t>
                        </w:r>
                      </w:p>
                    </w:txbxContent>
                  </v:textbox>
                </v:shape>
                <v:shape id="Text Box 22" o:spid="_x0000_s1109" type="#_x0000_t202" style="position:absolute;left:762;top:10046;width:5969;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PMIA&#10;AADbAAAADwAAAGRycy9kb3ducmV2LnhtbERPTWvCQBC9C/6HZYTezKa2FomuEoSGgifTVvA2ZMck&#10;NDsbdrcm9dd3CwVv83ifs9mNphNXcr61rOAxSUEQV1a3XCv4eH+dr0D4gKyxs0wKfsjDbjudbDDT&#10;duAjXctQixjCPkMFTQh9JqWvGjLoE9sTR+5incEQoauldjjEcNPJRZq+SIMtx4YGe9o3VH2V30ZB&#10;Md5Ozwd3Dl2Jx2r5afL6UgxKPczGfA0i0Bju4n/3m47zn+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w8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w:t>
                        </w:r>
                        <w:r>
                          <w:t xml:space="preserve"> 2</w:t>
                        </w:r>
                      </w:p>
                    </w:txbxContent>
                  </v:textbox>
                </v:shape>
                <v:shape id="Straight Arrow Connector 24" o:spid="_x0000_s1110" type="#_x0000_t32" style="position:absolute;left:9660;top:3617;width:2;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30" o:spid="_x0000_s1111" type="#_x0000_t32" style="position:absolute;left:9660;top:3617;width:7564;height:3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1" o:spid="_x0000_s1112" type="#_x0000_t32" style="position:absolute;left:9658;top:9981;width:4;height:3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42" o:spid="_x0000_s1113" type="#_x0000_t32" style="position:absolute;left:22114;top:9950;width:3;height:3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anchorlock/>
              </v:group>
            </w:pict>
          </mc:Fallback>
        </mc:AlternateConten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w:t>
      </w:r>
      <w:r w:rsidRPr="004436FA">
        <w:rPr>
          <w:rStyle w:val="ab"/>
          <w:rFonts w:ascii="Times New Roman" w:hAnsi="Times New Roman" w:cs="Times New Roman"/>
          <w:sz w:val="28"/>
          <w:szCs w:val="28"/>
        </w:rPr>
        <w:footnoteReference w:id="37"/>
      </w:r>
      <w:r w:rsidRPr="004436FA">
        <w:rPr>
          <w:rFonts w:ascii="Times New Roman" w:hAnsi="Times New Roman" w:cs="Times New Roman"/>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lang w:val="en-GB"/>
        </w:rPr>
      </w:pPr>
      <w:r w:rsidRPr="004436FA">
        <w:rPr>
          <w:rFonts w:ascii="Times New Roman" w:hAnsi="Times New Roman" w:cs="Times New Roman"/>
          <w:noProof/>
          <w:sz w:val="28"/>
          <w:szCs w:val="28"/>
        </w:rPr>
        <w:drawing>
          <wp:inline distT="0" distB="0" distL="0" distR="0" wp14:anchorId="5253C366" wp14:editId="727C123E">
            <wp:extent cx="2623820" cy="32442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4436FA">
        <w:rPr>
          <w:rFonts w:ascii="Times New Roman" w:hAnsi="Times New Roman" w:cs="Times New Roman"/>
          <w:noProof/>
          <w:sz w:val="28"/>
          <w:szCs w:val="28"/>
        </w:rPr>
        <w:drawing>
          <wp:inline distT="0" distB="0" distL="0" distR="0" wp14:anchorId="1CD4CDD6" wp14:editId="2AE94137">
            <wp:extent cx="2623820" cy="3244215"/>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контрфактуальной</w:t>
      </w:r>
      <w:r w:rsidRPr="004436FA">
        <w:rPr>
          <w:rStyle w:val="ab"/>
          <w:rFonts w:ascii="Times New Roman" w:hAnsi="Times New Roman" w:cs="Times New Roman"/>
          <w:sz w:val="28"/>
          <w:szCs w:val="28"/>
        </w:rPr>
        <w:footnoteReference w:id="38"/>
      </w:r>
      <w:r w:rsidRPr="004436FA">
        <w:rPr>
          <w:rFonts w:ascii="Times New Roman" w:hAnsi="Times New Roman" w:cs="Times New Roman"/>
          <w:sz w:val="28"/>
          <w:szCs w:val="28"/>
        </w:rPr>
        <w:t xml:space="preserve"> и фактической прибылью. Контрфактуальная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Default="00DB066E" w:rsidP="00DB066E">
      <w:pPr>
        <w:pStyle w:val="3"/>
        <w:spacing w:before="0" w:line="240" w:lineRule="auto"/>
        <w:ind w:firstLine="567"/>
        <w:jc w:val="both"/>
        <w:rPr>
          <w:rFonts w:ascii="Times New Roman" w:hAnsi="Times New Roman"/>
          <w:color w:val="auto"/>
          <w:sz w:val="28"/>
          <w:szCs w:val="28"/>
        </w:rPr>
      </w:pPr>
      <w:bookmarkStart w:id="71" w:name="_Toc487536241"/>
      <w:r w:rsidRPr="004436FA">
        <w:rPr>
          <w:rFonts w:ascii="Times New Roman" w:hAnsi="Times New Roman"/>
          <w:color w:val="auto"/>
          <w:sz w:val="28"/>
          <w:szCs w:val="28"/>
        </w:rPr>
        <w:t>4.2.1. Оценка убытков конкурентов от недобросовестной конкуренции.</w:t>
      </w:r>
      <w:bookmarkEnd w:id="71"/>
      <w:r w:rsidRPr="004436FA">
        <w:rPr>
          <w:rFonts w:ascii="Times New Roman" w:hAnsi="Times New Roman"/>
          <w:color w:val="auto"/>
          <w:sz w:val="28"/>
          <w:szCs w:val="28"/>
        </w:rPr>
        <w:t xml:space="preserve"> </w:t>
      </w:r>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 </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Помимо того, что такие действия вводят в заблуждение потребителей услуг, они могут причинить существенные убытки конкуренту нарушителя.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Рассмотрим характерные примеры.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b/>
          <w:sz w:val="28"/>
          <w:szCs w:val="28"/>
        </w:rPr>
        <w:t>Пример 1.</w:t>
      </w:r>
      <w:r w:rsidRPr="004436FA">
        <w:rPr>
          <w:rFonts w:ascii="Times New Roman" w:hAnsi="Times New Roman" w:cs="Times New Roman"/>
          <w:sz w:val="28"/>
          <w:szCs w:val="28"/>
        </w:rPr>
        <w:t xml:space="preserve">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деятельность сходный до степени смешения товарный знак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то же время «Компания А» несет убытки, вызванные оттоком 25 %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5177B6D8" wp14:editId="78AE4A77">
            <wp:extent cx="2628000" cy="3240000"/>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4436FA">
        <w:rPr>
          <w:rFonts w:ascii="Times New Roman" w:hAnsi="Times New Roman" w:cs="Times New Roman"/>
          <w:sz w:val="28"/>
          <w:szCs w:val="28"/>
        </w:rPr>
        <w:t xml:space="preserve"> </w:t>
      </w:r>
      <w:r w:rsidRPr="004436FA">
        <w:rPr>
          <w:rFonts w:ascii="Times New Roman" w:hAnsi="Times New Roman" w:cs="Times New Roman"/>
          <w:noProof/>
          <w:sz w:val="28"/>
          <w:szCs w:val="28"/>
        </w:rPr>
        <w:drawing>
          <wp:inline distT="0" distB="0" distL="0" distR="0" wp14:anchorId="516BBACE" wp14:editId="2CEA492E">
            <wp:extent cx="2628000" cy="3240000"/>
            <wp:effectExtent l="0" t="0" r="20320" b="1778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Расчет упущенной выгоды в данном случае будет выглядеть следующем образом</w:t>
      </w:r>
      <w:r w:rsidRPr="004436FA">
        <w:rPr>
          <w:rFonts w:ascii="Times New Roman" w:hAnsi="Times New Roman" w:cs="Times New Roman"/>
          <w:sz w:val="28"/>
          <w:szCs w:val="28"/>
          <w:vertAlign w:val="superscript"/>
        </w:rPr>
        <w:footnoteReference w:id="39"/>
      </w:r>
      <w:r w:rsidRPr="004436FA">
        <w:rPr>
          <w:rFonts w:ascii="Times New Roman" w:hAnsi="Times New Roman" w:cs="Times New Roman"/>
          <w:sz w:val="28"/>
          <w:szCs w:val="28"/>
        </w:rPr>
        <w:t xml:space="preserve">.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i/>
          <w:sz w:val="28"/>
          <w:szCs w:val="28"/>
        </w:rPr>
      </w:pPr>
      <w:r w:rsidRPr="004436FA">
        <w:rPr>
          <w:rFonts w:ascii="Times New Roman" w:hAnsi="Times New Roman" w:cs="Times New Roman"/>
          <w:i/>
          <w:sz w:val="28"/>
          <w:szCs w:val="28"/>
        </w:rPr>
        <w:t>Упущенная выгода = (КП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xml:space="preserve"> - ФП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 (КП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 xml:space="preserve"> – ПП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где: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КП – контрфактуальная прибыль</w:t>
      </w:r>
      <w:r w:rsidRPr="004436FA">
        <w:rPr>
          <w:rFonts w:ascii="Times New Roman" w:hAnsi="Times New Roman" w:cs="Times New Roman"/>
          <w:sz w:val="28"/>
          <w:szCs w:val="28"/>
          <w:vertAlign w:val="superscript"/>
        </w:rPr>
        <w:footnoteReference w:id="40"/>
      </w:r>
      <w:r w:rsidRPr="004436FA">
        <w:rPr>
          <w:rFonts w:ascii="Times New Roman" w:hAnsi="Times New Roman" w:cs="Times New Roman"/>
          <w:sz w:val="28"/>
          <w:szCs w:val="28"/>
        </w:rP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ФП</w:t>
      </w:r>
      <w:r w:rsidRPr="004436FA">
        <w:rPr>
          <w:rFonts w:ascii="Times New Roman" w:hAnsi="Times New Roman" w:cs="Times New Roman"/>
          <w:sz w:val="28"/>
          <w:szCs w:val="28"/>
          <w:vertAlign w:val="subscript"/>
        </w:rPr>
        <w:t>2011</w:t>
      </w:r>
      <w:r w:rsidRPr="004436FA">
        <w:rPr>
          <w:rFonts w:ascii="Times New Roman" w:hAnsi="Times New Roman" w:cs="Times New Roman"/>
          <w:sz w:val="28"/>
          <w:szCs w:val="28"/>
        </w:rP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ПП</w:t>
      </w:r>
      <w:r w:rsidRPr="004436FA">
        <w:rPr>
          <w:rFonts w:ascii="Times New Roman" w:hAnsi="Times New Roman" w:cs="Times New Roman"/>
          <w:sz w:val="28"/>
          <w:szCs w:val="28"/>
          <w:vertAlign w:val="subscript"/>
        </w:rPr>
        <w:t>2012</w:t>
      </w:r>
      <w:r w:rsidRPr="004436FA">
        <w:rPr>
          <w:rFonts w:ascii="Times New Roman" w:hAnsi="Times New Roman" w:cs="Times New Roman"/>
          <w:sz w:val="28"/>
          <w:szCs w:val="28"/>
        </w:rP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2011 г. АО «Компания А», занимающее 15 %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w:t>
      </w:r>
      <w:r w:rsidRPr="004436FA">
        <w:rPr>
          <w:rFonts w:ascii="Times New Roman" w:hAnsi="Times New Roman"/>
          <w:sz w:val="28"/>
          <w:szCs w:val="28"/>
          <w:lang w:val="en-US"/>
        </w:rPr>
        <w:t>N</w:t>
      </w:r>
      <w:r w:rsidRPr="004436FA">
        <w:rPr>
          <w:rFonts w:ascii="Times New Roman" w:hAnsi="Times New Roman"/>
          <w:sz w:val="28"/>
          <w:szCs w:val="28"/>
        </w:rPr>
        <w:t>»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При этом, как отмечалось, товарный знак «</w:t>
      </w:r>
      <w:r w:rsidRPr="004436FA">
        <w:rPr>
          <w:rFonts w:ascii="Times New Roman" w:hAnsi="Times New Roman"/>
          <w:sz w:val="28"/>
          <w:szCs w:val="28"/>
          <w:lang w:val="en-US"/>
        </w:rPr>
        <w:t>N</w:t>
      </w:r>
      <w:r w:rsidRPr="004436FA">
        <w:rPr>
          <w:rFonts w:ascii="Times New Roman" w:hAnsi="Times New Roman"/>
          <w:sz w:val="28"/>
          <w:szCs w:val="28"/>
        </w:rPr>
        <w:t>» начал использоваться другими субъектами рынка задолго до «Компании А».</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результате действий «Компании А» ее конкуренты были вынуждены убрать из продажи свою продукцию, маркированную товарным знаком «</w:t>
      </w:r>
      <w:r w:rsidRPr="004436FA">
        <w:rPr>
          <w:rFonts w:ascii="Times New Roman" w:hAnsi="Times New Roman"/>
          <w:sz w:val="28"/>
          <w:szCs w:val="28"/>
          <w:lang w:val="en-US"/>
        </w:rPr>
        <w:t>N</w:t>
      </w:r>
      <w:r w:rsidRPr="004436FA">
        <w:rPr>
          <w:rFonts w:ascii="Times New Roman" w:hAnsi="Times New Roman"/>
          <w:sz w:val="28"/>
          <w:szCs w:val="28"/>
        </w:rPr>
        <w:t>» и были фактически устранены с рынка сувенирной продукции, реализуемой под данным товарным знаком.</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noProof/>
          <w:sz w:val="28"/>
          <w:szCs w:val="28"/>
          <w:lang w:eastAsia="ru-RU"/>
        </w:rPr>
        <w:drawing>
          <wp:inline distT="0" distB="0" distL="0" distR="0" wp14:anchorId="3306231B" wp14:editId="0D7DA1E5">
            <wp:extent cx="2628000" cy="3240000"/>
            <wp:effectExtent l="0" t="0" r="20320" b="1778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4436FA">
        <w:rPr>
          <w:rFonts w:ascii="Times New Roman" w:hAnsi="Times New Roman"/>
          <w:sz w:val="28"/>
          <w:szCs w:val="28"/>
        </w:rPr>
        <w:t xml:space="preserve"> </w:t>
      </w:r>
      <w:r w:rsidRPr="004436FA">
        <w:rPr>
          <w:rFonts w:ascii="Times New Roman" w:hAnsi="Times New Roman"/>
          <w:noProof/>
          <w:sz w:val="28"/>
          <w:szCs w:val="28"/>
          <w:lang w:eastAsia="ru-RU"/>
        </w:rPr>
        <w:drawing>
          <wp:inline distT="0" distB="0" distL="0" distR="0" wp14:anchorId="27B894ED" wp14:editId="6F360D8E">
            <wp:extent cx="2628000" cy="3240000"/>
            <wp:effectExtent l="0" t="0" r="20320" b="1778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Один из наиболее крупных хозяйствующих субъектов на данном рынке, АО «Компания Б»,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r w:rsidRPr="004436FA">
        <w:rPr>
          <w:rFonts w:ascii="Times New Roman" w:hAnsi="Times New Roman"/>
          <w:sz w:val="28"/>
          <w:szCs w:val="28"/>
          <w:lang w:val="en-US"/>
        </w:rPr>
        <w:t>N</w:t>
      </w:r>
      <w:r w:rsidRPr="004436FA">
        <w:rPr>
          <w:rFonts w:ascii="Times New Roman" w:hAnsi="Times New Roman"/>
          <w:sz w:val="28"/>
          <w:szCs w:val="28"/>
        </w:rPr>
        <w:t>».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Default="00DB066E" w:rsidP="00DB066E">
      <w:pPr>
        <w:pStyle w:val="2"/>
        <w:spacing w:before="0" w:line="240" w:lineRule="auto"/>
        <w:ind w:firstLine="567"/>
        <w:jc w:val="both"/>
        <w:rPr>
          <w:rFonts w:ascii="Times New Roman" w:hAnsi="Times New Roman"/>
          <w:color w:val="auto"/>
          <w:sz w:val="28"/>
          <w:szCs w:val="28"/>
        </w:rPr>
      </w:pPr>
      <w:bookmarkStart w:id="72" w:name="_Toc487536242"/>
      <w:r w:rsidRPr="004436FA">
        <w:rPr>
          <w:rFonts w:ascii="Times New Roman" w:hAnsi="Times New Roman"/>
          <w:color w:val="auto"/>
          <w:sz w:val="28"/>
          <w:szCs w:val="28"/>
        </w:rPr>
        <w:t>4.3. Оценка убытков для потенциальных конкурентов</w:t>
      </w:r>
      <w:bookmarkEnd w:id="70"/>
      <w:r w:rsidRPr="004436FA">
        <w:rPr>
          <w:rFonts w:ascii="Times New Roman" w:hAnsi="Times New Roman"/>
          <w:color w:val="auto"/>
          <w:sz w:val="28"/>
          <w:szCs w:val="28"/>
        </w:rPr>
        <w:t>.</w:t>
      </w:r>
      <w:bookmarkEnd w:id="72"/>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потенциальным конкурентам, рассмотрим следующий пример.</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b/>
          <w:sz w:val="28"/>
          <w:szCs w:val="28"/>
        </w:rPr>
      </w:pPr>
      <w:r w:rsidRPr="004436FA">
        <w:rPr>
          <w:rFonts w:ascii="Times New Roman" w:hAnsi="Times New Roman" w:cs="Times New Roman"/>
          <w:b/>
          <w:sz w:val="28"/>
          <w:szCs w:val="28"/>
        </w:rPr>
        <w:t>Создание препятствий входа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s">
            <w:drawing>
              <wp:inline distT="0" distB="0" distL="0" distR="0" wp14:anchorId="07B2E90A" wp14:editId="75A2E033">
                <wp:extent cx="5351145" cy="2092960"/>
                <wp:effectExtent l="3810" t="3175"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2092960"/>
                        </a:xfrm>
                        <a:prstGeom prst="rect">
                          <a:avLst/>
                        </a:prstGeom>
                        <a:solidFill>
                          <a:srgbClr val="DBE5F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wps:txbx>
                      <wps:bodyPr rot="0" vert="horz" wrap="square" lIns="91440" tIns="45720" rIns="91440" bIns="45720" anchor="t" anchorCtr="0" upright="1">
                        <a:noAutofit/>
                      </wps:bodyPr>
                    </wps:wsp>
                  </a:graphicData>
                </a:graphic>
              </wp:inline>
            </w:drawing>
          </mc:Choice>
          <mc:Fallback>
            <w:pict>
              <v:shapetype w14:anchorId="07B2E90A" id="_x0000_t202" coordsize="21600,21600" o:spt="202" path="m,l,21600r21600,l21600,xe">
                <v:stroke joinstyle="miter"/>
                <v:path gradientshapeok="t" o:connecttype="rect"/>
              </v:shapetype>
              <v:shape id="Text Box 7" o:spid="_x0000_s1114" type="#_x0000_t202" style="width:421.35pt;height:1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" fillcolor="#dbe5f1" stroked="f" strokeweight=".5pt">
                <v:textbo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v:textbox>
                <w10:anchorlock/>
              </v:shape>
            </w:pict>
          </mc:Fallback>
        </mc:AlternateConten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Действия АО «Компания А» были признаны незаконными, противоречащими </w:t>
      </w:r>
      <w:r>
        <w:rPr>
          <w:rFonts w:ascii="Times New Roman" w:hAnsi="Times New Roman" w:cs="Times New Roman"/>
          <w:sz w:val="28"/>
          <w:szCs w:val="28"/>
        </w:rPr>
        <w:t xml:space="preserve">антимонопольному </w:t>
      </w:r>
      <w:r w:rsidRPr="004436FA">
        <w:rPr>
          <w:rFonts w:ascii="Times New Roman" w:hAnsi="Times New Roman" w:cs="Times New Roman"/>
          <w:sz w:val="28"/>
          <w:szCs w:val="28"/>
        </w:rPr>
        <w:t>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2010-2013 гг.</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73" w:name="_Ref40668491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74" w:name="_Toc487536243"/>
      <w:r w:rsidRPr="004436FA">
        <w:rPr>
          <w:rFonts w:ascii="Times New Roman" w:hAnsi="Times New Roman"/>
          <w:color w:val="auto"/>
          <w:sz w:val="28"/>
          <w:szCs w:val="28"/>
        </w:rPr>
        <w:t>4.4. Оценка убытков для покупателей</w:t>
      </w:r>
      <w:bookmarkEnd w:id="73"/>
      <w:r w:rsidRPr="004436FA">
        <w:rPr>
          <w:rFonts w:ascii="Times New Roman" w:hAnsi="Times New Roman"/>
          <w:color w:val="auto"/>
          <w:sz w:val="28"/>
          <w:szCs w:val="28"/>
        </w:rPr>
        <w:t>.</w:t>
      </w:r>
      <w:bookmarkEnd w:id="7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w:t>
      </w:r>
      <w:r>
        <w:rPr>
          <w:rFonts w:ascii="Times New Roman" w:hAnsi="Times New Roman" w:cs="Times New Roman"/>
          <w:sz w:val="28"/>
          <w:szCs w:val="28"/>
        </w:rPr>
        <w:t>дут применимы и в данном случае.</w:t>
      </w:r>
    </w:p>
    <w:p w:rsidR="00DB066E" w:rsidRDefault="00DB066E" w:rsidP="00DB066E">
      <w:pPr>
        <w:spacing w:after="0" w:line="240" w:lineRule="auto"/>
        <w:jc w:val="center"/>
        <w:rPr>
          <w:rFonts w:ascii="Times New Roman" w:hAnsi="Times New Roman"/>
          <w:b/>
          <w:sz w:val="28"/>
          <w:szCs w:val="28"/>
        </w:rPr>
      </w:pPr>
      <w:r w:rsidRPr="00255F70">
        <w:rPr>
          <w:rFonts w:ascii="Times New Roman" w:hAnsi="Times New Roman"/>
          <w:b/>
          <w:sz w:val="28"/>
          <w:szCs w:val="28"/>
        </w:rPr>
        <w:t xml:space="preserve">РАЗЪЯСНЕНИЕ </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b/>
          <w:sz w:val="28"/>
          <w:szCs w:val="28"/>
        </w:rPr>
      </w:pPr>
      <w:r w:rsidRPr="007F0985">
        <w:rPr>
          <w:rFonts w:ascii="Times New Roman" w:hAnsi="Times New Roman"/>
          <w:b/>
          <w:sz w:val="28"/>
          <w:szCs w:val="28"/>
        </w:rPr>
        <w:t>«</w:t>
      </w:r>
      <w:r>
        <w:rPr>
          <w:rFonts w:ascii="Times New Roman" w:hAnsi="Times New Roman"/>
          <w:b/>
          <w:sz w:val="28"/>
          <w:szCs w:val="28"/>
        </w:rPr>
        <w:t>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r w:rsidRPr="007F0985">
        <w:rPr>
          <w:rFonts w:ascii="Times New Roman" w:hAnsi="Times New Roman"/>
          <w:b/>
          <w:sz w:val="28"/>
          <w:szCs w:val="28"/>
        </w:rPr>
        <w:t>»</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sz w:val="28"/>
          <w:szCs w:val="28"/>
          <w:u w:val="single"/>
        </w:rPr>
      </w:pPr>
      <w:r w:rsidRPr="00DB026E">
        <w:rPr>
          <w:rFonts w:ascii="Times New Roman" w:hAnsi="Times New Roman"/>
          <w:sz w:val="28"/>
          <w:szCs w:val="28"/>
          <w:u w:val="single"/>
        </w:rPr>
        <w:t>№ 12</w:t>
      </w:r>
    </w:p>
    <w:p w:rsidR="00DB066E" w:rsidRPr="00DB026E" w:rsidRDefault="00DB066E" w:rsidP="00DB066E">
      <w:pPr>
        <w:spacing w:after="0" w:line="240" w:lineRule="auto"/>
        <w:jc w:val="both"/>
        <w:rPr>
          <w:rFonts w:ascii="Times New Roman" w:hAnsi="Times New Roman"/>
          <w:sz w:val="28"/>
          <w:szCs w:val="28"/>
        </w:rPr>
      </w:pPr>
    </w:p>
    <w:p w:rsidR="00DB066E" w:rsidRPr="007F0985" w:rsidRDefault="00DB066E" w:rsidP="00DB066E">
      <w:pPr>
        <w:pStyle w:val="a3"/>
        <w:spacing w:before="0" w:beforeAutospacing="0" w:after="0"/>
        <w:ind w:firstLine="709"/>
        <w:jc w:val="both"/>
        <w:rPr>
          <w:sz w:val="28"/>
          <w:szCs w:val="28"/>
        </w:rPr>
      </w:pPr>
    </w:p>
    <w:p w:rsidR="00DB066E" w:rsidRDefault="00DB066E" w:rsidP="00DB066E">
      <w:pPr>
        <w:pStyle w:val="a3"/>
        <w:spacing w:before="0" w:beforeAutospacing="0" w:after="0"/>
        <w:ind w:firstLine="709"/>
        <w:jc w:val="both"/>
        <w:rPr>
          <w:sz w:val="28"/>
          <w:szCs w:val="28"/>
        </w:rPr>
      </w:pPr>
      <w:r w:rsidRPr="000E36EB">
        <w:rPr>
          <w:sz w:val="28"/>
          <w:szCs w:val="28"/>
        </w:rPr>
        <w:t xml:space="preserve">Настоящие разъяснения </w:t>
      </w:r>
      <w:r>
        <w:rPr>
          <w:sz w:val="28"/>
          <w:szCs w:val="28"/>
        </w:rPr>
        <w:t>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владельцев энергопринимающего устройства или объекта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при осуществлении мероприятий по технологическому присоединению и оказанию услуг по передаче электрической энергии.</w:t>
      </w:r>
    </w:p>
    <w:p w:rsidR="00DB066E" w:rsidRPr="000E36EB" w:rsidRDefault="00DB066E" w:rsidP="00DB066E">
      <w:pPr>
        <w:pStyle w:val="a3"/>
        <w:spacing w:before="0" w:beforeAutospacing="0" w:after="0"/>
        <w:ind w:firstLine="709"/>
        <w:jc w:val="both"/>
        <w:rPr>
          <w:sz w:val="28"/>
          <w:szCs w:val="28"/>
        </w:rPr>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 xml:space="preserve">1. </w:t>
      </w:r>
      <w:r>
        <w:rPr>
          <w:b/>
          <w:bCs/>
          <w:iCs/>
          <w:sz w:val="28"/>
          <w:szCs w:val="28"/>
        </w:rPr>
        <w:t>Владелец объектов электроэнергетики, не соответствующий критериям отнесения к территориальным сетевым организациям, не является сетевой организацией</w:t>
      </w:r>
      <w:r>
        <w:rPr>
          <w:b/>
          <w:bCs/>
          <w:iCs/>
          <w:color w:val="000000"/>
          <w:sz w:val="28"/>
          <w:szCs w:val="28"/>
        </w:rPr>
        <w:t xml:space="preserve"> и не занимает доминирующее положение на рынке оказания услуг по передаче электрической энергии</w:t>
      </w:r>
    </w:p>
    <w:p w:rsidR="00DB066E" w:rsidRDefault="00DB066E" w:rsidP="00DB066E">
      <w:pPr>
        <w:pStyle w:val="a3"/>
        <w:spacing w:before="0" w:beforeAutospacing="0" w:after="0"/>
        <w:ind w:firstLine="567"/>
        <w:jc w:val="both"/>
        <w:rPr>
          <w:sz w:val="28"/>
          <w:szCs w:val="28"/>
        </w:rPr>
      </w:pPr>
      <w:r w:rsidRPr="00ED1189">
        <w:rPr>
          <w:sz w:val="28"/>
          <w:szCs w:val="28"/>
        </w:rPr>
        <w:t>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sidRPr="00D6126E">
        <w:rPr>
          <w:rFonts w:ascii="Times New Roman" w:hAnsi="Times New Roman"/>
          <w:sz w:val="28"/>
          <w:szCs w:val="28"/>
        </w:rPr>
        <w:t xml:space="preserve">В соответствии со статьей 4 </w:t>
      </w:r>
      <w:r w:rsidRPr="00A7425D">
        <w:rPr>
          <w:rFonts w:ascii="Times New Roman" w:hAnsi="Times New Roman"/>
          <w:sz w:val="28"/>
          <w:szCs w:val="28"/>
          <w:lang w:eastAsia="ru-RU"/>
        </w:rPr>
        <w:t>Федерального</w:t>
      </w:r>
      <w:r>
        <w:rPr>
          <w:rFonts w:ascii="Times New Roman" w:hAnsi="Times New Roman"/>
          <w:sz w:val="28"/>
          <w:szCs w:val="28"/>
          <w:lang w:eastAsia="ru-RU"/>
        </w:rPr>
        <w:t xml:space="preserve"> закона от 17.08.1995 № 147-ФЗ «О естественных монополиях» (далее – Закон о естественных монополиях) услуги по передаче электрической энергии отнесены к естественно-монопольному виду деятельности.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Согласно положений статьи 5 Федерального закона от 26.07.2006 № 135-ФЗ «О защите конкуренции» (далее - Закон о защите конкуренции)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DB066E" w:rsidRPr="00ED1189" w:rsidRDefault="00DB066E" w:rsidP="00DB066E">
      <w:pPr>
        <w:pStyle w:val="a3"/>
        <w:spacing w:before="0" w:beforeAutospacing="0" w:after="0"/>
        <w:ind w:firstLine="567"/>
        <w:jc w:val="both"/>
        <w:rPr>
          <w:sz w:val="28"/>
          <w:szCs w:val="28"/>
        </w:rPr>
      </w:pPr>
      <w:r w:rsidRPr="00ED1189">
        <w:rPr>
          <w:sz w:val="28"/>
          <w:szCs w:val="28"/>
        </w:rPr>
        <w:t>Постановлением Правительства Российской Федерации от 28.02.2015 №</w:t>
      </w:r>
      <w:r>
        <w:rPr>
          <w:sz w:val="28"/>
          <w:szCs w:val="28"/>
        </w:rPr>
        <w:t> </w:t>
      </w:r>
      <w:r w:rsidRPr="00ED1189">
        <w:rPr>
          <w:sz w:val="28"/>
          <w:szCs w:val="28"/>
        </w:rPr>
        <w:t>184 утверждены Критерии отнесения владельцев объектов электросетевого хозяйства к территориальным сетевым организациям (далее — Критерии ТСО).</w:t>
      </w:r>
    </w:p>
    <w:p w:rsidR="00DB066E" w:rsidRPr="00ED1189"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w:t>
      </w:r>
      <w:r>
        <w:rPr>
          <w:rFonts w:ascii="Times New Roman" w:hAnsi="Times New Roman"/>
          <w:sz w:val="28"/>
          <w:szCs w:val="28"/>
        </w:rPr>
        <w:t>о</w:t>
      </w:r>
      <w:r w:rsidRPr="00ED1189">
        <w:rPr>
          <w:rFonts w:ascii="Times New Roman" w:hAnsi="Times New Roman"/>
          <w:sz w:val="28"/>
          <w:szCs w:val="28"/>
        </w:rPr>
        <w:t xml:space="preserve">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случае выявления несоответствия 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B066E" w:rsidRPr="0085003C" w:rsidRDefault="00DB066E" w:rsidP="00DB066E">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w:t>
      </w:r>
      <w:r w:rsidRPr="00ED1189">
        <w:rPr>
          <w:rFonts w:ascii="Times New Roman" w:hAnsi="Times New Roman"/>
          <w:sz w:val="28"/>
          <w:szCs w:val="28"/>
        </w:rPr>
        <w:t xml:space="preserve">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r>
        <w:rPr>
          <w:rFonts w:ascii="Times New Roman" w:hAnsi="Times New Roman"/>
          <w:sz w:val="28"/>
          <w:szCs w:val="28"/>
        </w:rPr>
        <w:t xml:space="preserve">, </w:t>
      </w:r>
      <w:r w:rsidRPr="0085003C">
        <w:rPr>
          <w:rFonts w:ascii="Times New Roman" w:hAnsi="Times New Roman"/>
          <w:i/>
          <w:sz w:val="28"/>
          <w:szCs w:val="28"/>
        </w:rPr>
        <w:t>такое юридическое лицо теряет статус сетевой организации и переходит в статус владельца объектов электроэнергетики (владельца объектов электросетевого хозяйства).</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87368A">
        <w:rPr>
          <w:rFonts w:ascii="Times New Roman" w:hAnsi="Times New Roman"/>
          <w:sz w:val="28"/>
          <w:szCs w:val="28"/>
        </w:rPr>
        <w:t xml:space="preserve">Указанное означает, что </w:t>
      </w:r>
      <w:r w:rsidRPr="0085003C">
        <w:rPr>
          <w:rFonts w:ascii="Times New Roman" w:hAnsi="Times New Roman"/>
          <w:i/>
          <w:sz w:val="28"/>
          <w:szCs w:val="28"/>
        </w:rPr>
        <w:t>такому юридическому лицу не устанавливается тариф на оказание услуг по передаче электрической энергии</w:t>
      </w:r>
      <w:r>
        <w:rPr>
          <w:rFonts w:ascii="Times New Roman" w:hAnsi="Times New Roman"/>
          <w:i/>
          <w:sz w:val="28"/>
          <w:szCs w:val="28"/>
        </w:rPr>
        <w:t>.</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w:t>
      </w:r>
      <w:r w:rsidRPr="00ED1189">
        <w:rPr>
          <w:rFonts w:ascii="Times New Roman" w:hAnsi="Times New Roman"/>
          <w:sz w:val="28"/>
          <w:szCs w:val="28"/>
        </w:rPr>
        <w:t>отнесения владельцев объектов электросетевого хозяйства к территориальным сетевым организациям</w:t>
      </w:r>
      <w:r>
        <w:rPr>
          <w:rFonts w:ascii="Times New Roman" w:hAnsi="Times New Roman"/>
          <w:sz w:val="28"/>
          <w:szCs w:val="28"/>
        </w:rPr>
        <w:t>, не является субъектом</w:t>
      </w:r>
      <w:r>
        <w:rPr>
          <w:rFonts w:ascii="Times New Roman" w:hAnsi="Times New Roman"/>
          <w:sz w:val="28"/>
          <w:szCs w:val="28"/>
          <w:lang w:eastAsia="ru-RU"/>
        </w:rPr>
        <w:t xml:space="preserve"> естественной монополии и не занимает доминирующего положения на товарном рынке. К такому лицу не применимы положения статьи 10 Закона о защите конкуренции.</w:t>
      </w:r>
    </w:p>
    <w:p w:rsidR="00DB066E" w:rsidRPr="0087368A" w:rsidRDefault="00DB066E" w:rsidP="00DB066E">
      <w:pPr>
        <w:autoSpaceDE w:val="0"/>
        <w:autoSpaceDN w:val="0"/>
        <w:adjustRightInd w:val="0"/>
        <w:spacing w:after="0" w:line="240" w:lineRule="auto"/>
        <w:ind w:firstLine="567"/>
        <w:jc w:val="both"/>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2.</w:t>
      </w:r>
      <w:r>
        <w:rPr>
          <w:b/>
          <w:bCs/>
          <w:iCs/>
          <w:sz w:val="28"/>
          <w:szCs w:val="28"/>
        </w:rPr>
        <w:t xml:space="preserve"> Право владельцев энергопринимающего устройства или объекта электроэнергетики осуществлять технологическое присоединение иных лиц к своим объектам</w:t>
      </w:r>
      <w:r w:rsidRPr="000E36EB">
        <w:rPr>
          <w:b/>
          <w:bCs/>
          <w:iCs/>
          <w:sz w:val="28"/>
          <w:szCs w:val="28"/>
        </w:rPr>
        <w:t>.</w:t>
      </w:r>
    </w:p>
    <w:p w:rsidR="00DB066E" w:rsidRPr="0059345A" w:rsidRDefault="00DB066E" w:rsidP="00DB066E">
      <w:pPr>
        <w:pStyle w:val="a3"/>
        <w:spacing w:before="0" w:beforeAutospacing="0" w:after="0"/>
        <w:ind w:firstLine="833"/>
        <w:jc w:val="both"/>
        <w:rPr>
          <w:sz w:val="28"/>
          <w:szCs w:val="28"/>
        </w:rPr>
      </w:pPr>
      <w:r w:rsidRPr="0059345A">
        <w:rPr>
          <w:sz w:val="28"/>
          <w:szCs w:val="28"/>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B066E" w:rsidRPr="0059345A" w:rsidRDefault="00DB066E" w:rsidP="00DB066E">
      <w:pPr>
        <w:pStyle w:val="a3"/>
        <w:spacing w:before="0" w:beforeAutospacing="0" w:after="0"/>
        <w:ind w:firstLine="833"/>
        <w:jc w:val="both"/>
        <w:rPr>
          <w:sz w:val="28"/>
          <w:szCs w:val="28"/>
        </w:rPr>
      </w:pPr>
      <w:r w:rsidRPr="0059345A">
        <w:rPr>
          <w:sz w:val="28"/>
          <w:szCs w:val="28"/>
        </w:rPr>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DB066E" w:rsidRPr="0059345A" w:rsidRDefault="00DB066E" w:rsidP="00DB066E">
      <w:pPr>
        <w:pStyle w:val="a3"/>
        <w:spacing w:before="0" w:beforeAutospacing="0" w:after="0"/>
        <w:ind w:firstLine="556"/>
        <w:jc w:val="both"/>
        <w:rPr>
          <w:sz w:val="28"/>
          <w:szCs w:val="28"/>
        </w:rPr>
      </w:pPr>
      <w:r>
        <w:rPr>
          <w:sz w:val="28"/>
          <w:szCs w:val="28"/>
        </w:rPr>
        <w:t>При этом с</w:t>
      </w:r>
      <w:r w:rsidRPr="0059345A">
        <w:rPr>
          <w:sz w:val="28"/>
          <w:szCs w:val="28"/>
        </w:rPr>
        <w:t>огласно абзацу 3 пункта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w:t>
      </w:r>
      <w:r>
        <w:rPr>
          <w:sz w:val="28"/>
          <w:szCs w:val="28"/>
        </w:rPr>
        <w:t xml:space="preserve"> </w:t>
      </w:r>
      <w:r w:rsidRPr="0059345A">
        <w:rPr>
          <w:sz w:val="28"/>
          <w:szCs w:val="28"/>
        </w:rPr>
        <w:t>в частности с использованием метода сравнения аналогов.</w:t>
      </w:r>
    </w:p>
    <w:p w:rsidR="00DB066E" w:rsidRPr="000F62EB" w:rsidRDefault="00DB066E" w:rsidP="00DB066E">
      <w:pPr>
        <w:pStyle w:val="a3"/>
        <w:spacing w:before="0" w:beforeAutospacing="0" w:after="0"/>
        <w:ind w:firstLine="567"/>
        <w:jc w:val="both"/>
        <w:rPr>
          <w:sz w:val="28"/>
          <w:szCs w:val="28"/>
        </w:rPr>
      </w:pPr>
      <w:r w:rsidRPr="0059345A">
        <w:rPr>
          <w:sz w:val="28"/>
          <w:szCs w:val="28"/>
        </w:rPr>
        <w:t>Пунктом 1 статьи 26 Закона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DB066E" w:rsidRDefault="00DB066E" w:rsidP="00DB066E">
      <w:pPr>
        <w:pStyle w:val="a3"/>
        <w:spacing w:before="0" w:beforeAutospacing="0" w:after="0"/>
        <w:ind w:firstLine="556"/>
        <w:jc w:val="both"/>
        <w:rPr>
          <w:sz w:val="28"/>
          <w:szCs w:val="28"/>
        </w:rPr>
      </w:pPr>
      <w:r w:rsidRPr="0059345A">
        <w:rPr>
          <w:sz w:val="28"/>
          <w:szCs w:val="28"/>
        </w:rPr>
        <w:t>Согласно абзацу 2 пункта 4 статьи 26 Закона об электроэнергетике владелец энергопринимающего устройства или объекта электроэнергетики, ранее технологически присоединенных в надлежащем порядке,</w:t>
      </w:r>
      <w:r w:rsidRPr="0059345A">
        <w:rPr>
          <w:sz w:val="28"/>
          <w:szCs w:val="28"/>
        </w:rPr>
        <w:br/>
        <w:t xml:space="preserve">по согласованию с сетевой организацией </w:t>
      </w:r>
      <w:r w:rsidRPr="0085003C">
        <w:rPr>
          <w:i/>
          <w:sz w:val="28"/>
          <w:szCs w:val="28"/>
        </w:rPr>
        <w:t>вправе</w:t>
      </w:r>
      <w:r w:rsidRPr="0059345A">
        <w:rPr>
          <w:sz w:val="28"/>
          <w:szCs w:val="28"/>
        </w:rPr>
        <w:t xml:space="preserve">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w:t>
      </w:r>
      <w:r w:rsidRPr="0085003C">
        <w:rPr>
          <w:sz w:val="28"/>
          <w:szCs w:val="28"/>
        </w:rPr>
        <w:t xml:space="preserve">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w:t>
      </w:r>
      <w:r w:rsidRPr="0059345A">
        <w:rPr>
          <w:sz w:val="28"/>
          <w:szCs w:val="28"/>
        </w:rPr>
        <w:t>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w:t>
      </w:r>
      <w:r>
        <w:rPr>
          <w:i/>
          <w:sz w:val="28"/>
          <w:szCs w:val="28"/>
        </w:rPr>
        <w:t>, но не обязан</w:t>
      </w:r>
      <w:r w:rsidRPr="0085003C">
        <w:rPr>
          <w:i/>
          <w:sz w:val="28"/>
          <w:szCs w:val="28"/>
        </w:rPr>
        <w:t xml:space="preserve"> осуществлять технологическое присоединение к своим объектам.</w:t>
      </w:r>
    </w:p>
    <w:p w:rsidR="00DB066E" w:rsidRPr="0059345A" w:rsidRDefault="00DB066E" w:rsidP="00DB066E">
      <w:pPr>
        <w:pStyle w:val="a3"/>
        <w:spacing w:before="0" w:beforeAutospacing="0" w:after="0"/>
        <w:ind w:firstLine="556"/>
        <w:jc w:val="both"/>
        <w:rPr>
          <w:sz w:val="28"/>
          <w:szCs w:val="28"/>
        </w:rPr>
      </w:pPr>
      <w:r w:rsidRPr="0059345A">
        <w:rPr>
          <w:sz w:val="28"/>
          <w:szCs w:val="28"/>
        </w:rPr>
        <w:t>Полномочия органов исполнительной власти субъектов Российской Федерации в области государственного регулирования тарифов определяются</w:t>
      </w:r>
      <w:r>
        <w:rPr>
          <w:sz w:val="28"/>
          <w:szCs w:val="28"/>
        </w:rPr>
        <w:t xml:space="preserve"> </w:t>
      </w:r>
      <w:r w:rsidRPr="0059345A">
        <w:rPr>
          <w:sz w:val="28"/>
          <w:szCs w:val="28"/>
        </w:rPr>
        <w:t>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Учитывая изложенное, орган исполнительной власти субъекта Российской Федерации в области регулирования цен (тарифов)не наделен полномочиями и не обязан устанавливать плату за технологическое присоединение</w:t>
      </w:r>
      <w:r>
        <w:rPr>
          <w:i/>
          <w:sz w:val="28"/>
          <w:szCs w:val="28"/>
        </w:rPr>
        <w:t xml:space="preserve"> </w:t>
      </w:r>
      <w:r w:rsidRPr="0085003C">
        <w:rPr>
          <w:i/>
          <w:sz w:val="28"/>
          <w:szCs w:val="28"/>
        </w:rPr>
        <w:t>к электрическим сетям владельцев объектов электросетевого хозяйства,</w:t>
      </w:r>
      <w:r>
        <w:rPr>
          <w:i/>
          <w:sz w:val="28"/>
          <w:szCs w:val="28"/>
        </w:rPr>
        <w:t xml:space="preserve"> </w:t>
      </w:r>
      <w:r w:rsidRPr="0085003C">
        <w:rPr>
          <w:i/>
          <w:sz w:val="28"/>
          <w:szCs w:val="28"/>
        </w:rPr>
        <w:t>не являющихся сетевыми организациями.</w:t>
      </w:r>
    </w:p>
    <w:p w:rsidR="00DB066E" w:rsidRPr="00A7425D" w:rsidRDefault="00DB066E" w:rsidP="00DB066E">
      <w:pPr>
        <w:pStyle w:val="a3"/>
        <w:spacing w:before="0" w:beforeAutospacing="0" w:after="0"/>
        <w:ind w:firstLine="556"/>
        <w:jc w:val="both"/>
        <w:rPr>
          <w:i/>
          <w:sz w:val="28"/>
          <w:szCs w:val="28"/>
        </w:rPr>
      </w:pPr>
      <w:r>
        <w:rPr>
          <w:sz w:val="28"/>
          <w:szCs w:val="28"/>
        </w:rPr>
        <w:t xml:space="preserve">При этом, учитывая положения абзаца 2 пункта 4 статьи 26 Закона об электроэнергетике, </w:t>
      </w:r>
      <w:r w:rsidRPr="0085003C">
        <w:rPr>
          <w:i/>
          <w:sz w:val="28"/>
          <w:szCs w:val="28"/>
        </w:rPr>
        <w:t>плата за технологическое присоединение к электрическим сетям владельцев энергопринимающих устройств или объектов электроэнергетики</w:t>
      </w:r>
      <w:r>
        <w:rPr>
          <w:i/>
          <w:sz w:val="28"/>
          <w:szCs w:val="28"/>
        </w:rPr>
        <w:t xml:space="preserve"> (в том числе объектов электросетевого хозяйства и объектов по производству электрической энергии)</w:t>
      </w:r>
      <w:r w:rsidRPr="0085003C">
        <w:rPr>
          <w:i/>
          <w:sz w:val="28"/>
          <w:szCs w:val="28"/>
        </w:rPr>
        <w:t xml:space="preserve"> определя</w:t>
      </w:r>
      <w:r>
        <w:rPr>
          <w:i/>
          <w:sz w:val="28"/>
          <w:szCs w:val="28"/>
        </w:rPr>
        <w:t>е</w:t>
      </w:r>
      <w:r w:rsidRPr="0085003C">
        <w:rPr>
          <w:i/>
          <w:sz w:val="28"/>
          <w:szCs w:val="28"/>
        </w:rPr>
        <w:t>тся</w:t>
      </w:r>
      <w:r>
        <w:rPr>
          <w:i/>
          <w:sz w:val="28"/>
          <w:szCs w:val="28"/>
        </w:rPr>
        <w:t xml:space="preserve"> в гражданско-правовом порядке и по соглашению сторон может быть рассчитана исходя из</w:t>
      </w:r>
      <w:r w:rsidRPr="0085003C">
        <w:rPr>
          <w:i/>
          <w:sz w:val="28"/>
          <w:szCs w:val="28"/>
        </w:rPr>
        <w:t xml:space="preserve"> стандартизированны</w:t>
      </w:r>
      <w:r>
        <w:rPr>
          <w:i/>
          <w:sz w:val="28"/>
          <w:szCs w:val="28"/>
        </w:rPr>
        <w:t>х</w:t>
      </w:r>
      <w:r w:rsidRPr="0085003C">
        <w:rPr>
          <w:i/>
          <w:sz w:val="28"/>
          <w:szCs w:val="28"/>
        </w:rPr>
        <w:t xml:space="preserve"> тарифны</w:t>
      </w:r>
      <w:r>
        <w:rPr>
          <w:i/>
          <w:sz w:val="28"/>
          <w:szCs w:val="28"/>
        </w:rPr>
        <w:t xml:space="preserve">х </w:t>
      </w:r>
      <w:r w:rsidRPr="00A7425D">
        <w:rPr>
          <w:i/>
          <w:sz w:val="28"/>
          <w:szCs w:val="28"/>
        </w:rPr>
        <w:t>ставок на технологическое присоединение, устанавливаемых едиными на территории субъекта Российской Федерации.</w:t>
      </w:r>
    </w:p>
    <w:p w:rsidR="00DB066E" w:rsidRPr="00D6126E" w:rsidRDefault="00DB066E" w:rsidP="00DB066E">
      <w:pPr>
        <w:spacing w:after="0" w:line="240" w:lineRule="auto"/>
        <w:ind w:firstLine="556"/>
        <w:jc w:val="both"/>
        <w:rPr>
          <w:sz w:val="28"/>
          <w:szCs w:val="28"/>
        </w:rPr>
      </w:pPr>
      <w:r w:rsidRPr="00D6126E">
        <w:rPr>
          <w:rFonts w:ascii="Times New Roman" w:eastAsia="Times New Roman" w:hAnsi="Times New Roman"/>
          <w:sz w:val="28"/>
          <w:szCs w:val="28"/>
          <w:lang w:eastAsia="ru-RU"/>
        </w:rPr>
        <w:t xml:space="preserve">Так, Верховный Суд Российской Федерации в </w:t>
      </w:r>
      <w:r>
        <w:rPr>
          <w:rFonts w:ascii="Times New Roman" w:eastAsia="Times New Roman" w:hAnsi="Times New Roman"/>
          <w:sz w:val="28"/>
          <w:szCs w:val="28"/>
          <w:lang w:eastAsia="ru-RU"/>
        </w:rPr>
        <w:t>О</w:t>
      </w:r>
      <w:r w:rsidRPr="00D6126E">
        <w:rPr>
          <w:rFonts w:ascii="Times New Roman" w:eastAsia="Times New Roman" w:hAnsi="Times New Roman"/>
          <w:sz w:val="28"/>
          <w:szCs w:val="28"/>
          <w:lang w:eastAsia="ru-RU"/>
        </w:rPr>
        <w:t xml:space="preserve">пределении от 2 февраля 2017 г.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АПЛ16-632 пришел к следующему выводу.  </w:t>
      </w:r>
      <w:r w:rsidRPr="00A7425D">
        <w:rPr>
          <w:rFonts w:ascii="Times New Roman" w:eastAsia="Times New Roman" w:hAnsi="Times New Roman"/>
          <w:sz w:val="28"/>
          <w:szCs w:val="28"/>
          <w:lang w:eastAsia="ru-RU"/>
        </w:rPr>
        <w:t xml:space="preserve">Владелец объектов </w:t>
      </w:r>
      <w:r w:rsidRPr="00D6126E">
        <w:rPr>
          <w:rFonts w:ascii="Times New Roman" w:eastAsia="Times New Roman" w:hAnsi="Times New Roman"/>
          <w:sz w:val="28"/>
          <w:szCs w:val="28"/>
          <w:lang w:eastAsia="ru-RU"/>
        </w:rPr>
        <w:t>электросетевого хозяйства для осуществления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деятельности по передаче электрической энергии, а также для получения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соответствующего тарифа на услуги по передаче электрической энергии должен</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соответствовать Критериям. Собственники объектов электросетевого хозяйства, не соответствующие</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Критериям, обязаны нести бремя содержания принадлежащего им имущества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со статьей 210 Гражданского кодекса Российской Федерации</w:t>
      </w:r>
      <w:r>
        <w:rPr>
          <w:rFonts w:ascii="Times New Roman" w:eastAsia="Times New Roman" w:hAnsi="Times New Roman"/>
          <w:sz w:val="28"/>
          <w:szCs w:val="28"/>
          <w:lang w:eastAsia="ru-RU"/>
        </w:rPr>
        <w:t xml:space="preserve"> (далее – ГК РФ)</w:t>
      </w:r>
      <w:r w:rsidRPr="00D6126E">
        <w:rPr>
          <w:rFonts w:ascii="Times New Roman" w:eastAsia="Times New Roman" w:hAnsi="Times New Roman"/>
          <w:sz w:val="28"/>
          <w:szCs w:val="28"/>
          <w:lang w:eastAsia="ru-RU"/>
        </w:rPr>
        <w:t>, а</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также соблюдать запрет на препятствование перетоку электрической энергии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 пунктом 6 Правил недискриминационного доступа к услугам по</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передаче электрической энергии и оказанию этих услуг, утвержденных</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постановлением Правительства Российской Федерации от 27 декабря 2004 г.</w:t>
      </w:r>
      <w:r>
        <w:rPr>
          <w:rFonts w:ascii="Times New Roman" w:eastAsia="Times New Roman" w:hAnsi="Times New Roman"/>
          <w:sz w:val="28"/>
          <w:szCs w:val="28"/>
          <w:lang w:eastAsia="ru-RU"/>
        </w:rPr>
        <w:t xml:space="preserve"> № </w:t>
      </w:r>
      <w:r w:rsidRPr="00D6126E">
        <w:rPr>
          <w:rFonts w:ascii="Times New Roman" w:eastAsia="Times New Roman" w:hAnsi="Times New Roman"/>
          <w:sz w:val="28"/>
          <w:szCs w:val="28"/>
          <w:lang w:eastAsia="ru-RU"/>
        </w:rPr>
        <w:t>861.</w:t>
      </w:r>
    </w:p>
    <w:p w:rsidR="00DB066E" w:rsidRDefault="00DB066E" w:rsidP="00DB066E">
      <w:pPr>
        <w:pStyle w:val="a3"/>
        <w:spacing w:before="0" w:beforeAutospacing="0" w:after="0"/>
        <w:ind w:firstLine="556"/>
        <w:jc w:val="both"/>
        <w:rPr>
          <w:sz w:val="28"/>
          <w:szCs w:val="28"/>
        </w:rPr>
      </w:pPr>
      <w:r w:rsidRPr="00A7425D">
        <w:rPr>
          <w:sz w:val="28"/>
          <w:szCs w:val="28"/>
        </w:rPr>
        <w:t xml:space="preserve">Учитывая изложенное, действия </w:t>
      </w:r>
      <w:r w:rsidRPr="00D6126E">
        <w:rPr>
          <w:sz w:val="28"/>
          <w:szCs w:val="28"/>
        </w:rPr>
        <w:t>владельцев энергопринимающих устройств или объектов электроэнергетики (в том числе объектов электросетевого хозяйства и объектов по производству электрической энергии)</w:t>
      </w:r>
      <w:r>
        <w:rPr>
          <w:sz w:val="28"/>
          <w:szCs w:val="28"/>
        </w:rPr>
        <w:t xml:space="preserve"> по заключению договоров об осуществлении технологического присоединения и определению платы за такое присоединение </w:t>
      </w:r>
      <w:r w:rsidRPr="00D6126E">
        <w:rPr>
          <w:sz w:val="28"/>
          <w:szCs w:val="28"/>
        </w:rPr>
        <w:t>в гражданско-правовом порядке</w:t>
      </w:r>
      <w:r>
        <w:rPr>
          <w:sz w:val="28"/>
          <w:szCs w:val="28"/>
        </w:rPr>
        <w:t xml:space="preserve">, в том числе </w:t>
      </w:r>
      <w:r w:rsidRPr="00D6126E">
        <w:rPr>
          <w:sz w:val="28"/>
          <w:szCs w:val="28"/>
        </w:rPr>
        <w:t>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r>
        <w:rPr>
          <w:sz w:val="28"/>
          <w:szCs w:val="28"/>
        </w:rPr>
        <w:t>, не могут содержать признаки нарушения статьи 10 Закона о защите конкуренции.</w:t>
      </w:r>
    </w:p>
    <w:p w:rsidR="00DB066E" w:rsidRPr="00D6126E" w:rsidRDefault="00DB066E" w:rsidP="00DB066E">
      <w:pPr>
        <w:pStyle w:val="a3"/>
        <w:spacing w:before="0" w:beforeAutospacing="0" w:after="0"/>
        <w:ind w:firstLine="556"/>
        <w:jc w:val="both"/>
        <w:rPr>
          <w:sz w:val="28"/>
          <w:szCs w:val="28"/>
        </w:rPr>
      </w:pPr>
    </w:p>
    <w:p w:rsidR="00DB066E" w:rsidRPr="000E36EB" w:rsidRDefault="00DB066E" w:rsidP="00DB066E">
      <w:pPr>
        <w:pStyle w:val="a3"/>
        <w:spacing w:before="0" w:beforeAutospacing="0" w:after="0"/>
        <w:ind w:firstLine="556"/>
        <w:jc w:val="both"/>
        <w:rPr>
          <w:sz w:val="28"/>
          <w:szCs w:val="28"/>
        </w:rPr>
      </w:pPr>
      <w:r w:rsidRPr="000E36EB">
        <w:rPr>
          <w:b/>
          <w:bCs/>
          <w:iCs/>
          <w:color w:val="000000"/>
          <w:sz w:val="28"/>
          <w:szCs w:val="28"/>
        </w:rPr>
        <w:t xml:space="preserve">3. </w:t>
      </w:r>
      <w:r>
        <w:rPr>
          <w:b/>
          <w:bCs/>
          <w:iCs/>
          <w:color w:val="000000"/>
          <w:sz w:val="28"/>
          <w:szCs w:val="28"/>
        </w:rPr>
        <w:t xml:space="preserve">Обязанность владельцев объектов электросетевого хозяйства, </w:t>
      </w:r>
      <w:r>
        <w:rPr>
          <w:b/>
          <w:bCs/>
          <w:iCs/>
          <w:sz w:val="28"/>
          <w:szCs w:val="28"/>
        </w:rPr>
        <w:t xml:space="preserve">не соответствующих критериям отнесения к территориальным сетевым организациям, не </w:t>
      </w:r>
      <w:r w:rsidRPr="000E36EB">
        <w:rPr>
          <w:b/>
          <w:bCs/>
          <w:iCs/>
          <w:sz w:val="28"/>
          <w:szCs w:val="28"/>
        </w:rPr>
        <w:t>препятствова</w:t>
      </w:r>
      <w:r>
        <w:rPr>
          <w:b/>
          <w:bCs/>
          <w:iCs/>
          <w:sz w:val="28"/>
          <w:szCs w:val="28"/>
        </w:rPr>
        <w:t>ть</w:t>
      </w:r>
      <w:r w:rsidRPr="000E36EB">
        <w:rPr>
          <w:b/>
          <w:bCs/>
          <w:iCs/>
          <w:sz w:val="28"/>
          <w:szCs w:val="28"/>
        </w:rPr>
        <w:t xml:space="preserve"> перетоку электрической энергии.</w:t>
      </w:r>
    </w:p>
    <w:p w:rsidR="00DB066E" w:rsidRPr="000E36EB" w:rsidRDefault="00DB066E" w:rsidP="00DB066E">
      <w:pPr>
        <w:pStyle w:val="a3"/>
        <w:spacing w:before="0" w:beforeAutospacing="0" w:after="0"/>
        <w:ind w:firstLine="709"/>
        <w:jc w:val="both"/>
        <w:rPr>
          <w:sz w:val="28"/>
          <w:szCs w:val="28"/>
        </w:rPr>
      </w:pPr>
      <w:r w:rsidRPr="000E36EB">
        <w:rPr>
          <w:sz w:val="28"/>
          <w:szCs w:val="28"/>
        </w:rPr>
        <w:t>Согласно статье 210 ГК РФ, собственник несет бремя содержания принадлежащего ему имущества, если иное не предусмотрено законом или договором.</w:t>
      </w:r>
    </w:p>
    <w:p w:rsidR="00DB066E" w:rsidRPr="000E36EB" w:rsidRDefault="00DB066E" w:rsidP="00DB066E">
      <w:pPr>
        <w:pStyle w:val="a3"/>
        <w:spacing w:before="0" w:beforeAutospacing="0" w:after="0"/>
        <w:ind w:firstLine="709"/>
        <w:jc w:val="both"/>
        <w:rPr>
          <w:sz w:val="28"/>
          <w:szCs w:val="28"/>
        </w:rPr>
      </w:pPr>
      <w:r w:rsidRPr="000E36EB">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w:t>
      </w:r>
      <w:r>
        <w:rPr>
          <w:sz w:val="28"/>
          <w:szCs w:val="28"/>
        </w:rPr>
        <w:t>,</w:t>
      </w:r>
      <w:r w:rsidRPr="000E36EB">
        <w:rPr>
          <w:sz w:val="28"/>
          <w:szCs w:val="28"/>
        </w:rPr>
        <w:t xml:space="preserve">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DB066E" w:rsidRPr="000E36EB" w:rsidRDefault="00DB066E" w:rsidP="00DB066E">
      <w:pPr>
        <w:pStyle w:val="a3"/>
        <w:spacing w:before="0" w:beforeAutospacing="0" w:after="0"/>
        <w:ind w:firstLine="709"/>
        <w:jc w:val="both"/>
        <w:rPr>
          <w:sz w:val="28"/>
          <w:szCs w:val="28"/>
        </w:rPr>
      </w:pPr>
      <w:r w:rsidRPr="000E36EB">
        <w:rPr>
          <w:sz w:val="28"/>
          <w:szCs w:val="28"/>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DB066E" w:rsidRPr="000E36EB" w:rsidRDefault="00DB066E" w:rsidP="00DB066E">
      <w:pPr>
        <w:pStyle w:val="a3"/>
        <w:spacing w:before="0" w:beforeAutospacing="0" w:after="0"/>
        <w:ind w:firstLine="709"/>
        <w:jc w:val="both"/>
        <w:rPr>
          <w:sz w:val="28"/>
          <w:szCs w:val="28"/>
        </w:rPr>
      </w:pPr>
      <w:r w:rsidRPr="000E36EB">
        <w:rPr>
          <w:sz w:val="28"/>
          <w:szCs w:val="28"/>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DB066E" w:rsidRPr="00A84D72" w:rsidRDefault="00DB066E" w:rsidP="00DB066E">
      <w:pPr>
        <w:autoSpaceDE w:val="0"/>
        <w:autoSpaceDN w:val="0"/>
        <w:adjustRightInd w:val="0"/>
        <w:spacing w:after="0" w:line="240" w:lineRule="auto"/>
        <w:ind w:firstLine="539"/>
        <w:jc w:val="both"/>
        <w:rPr>
          <w:rFonts w:ascii="Times New Roman" w:hAnsi="Times New Roman"/>
          <w:sz w:val="28"/>
          <w:szCs w:val="28"/>
          <w:lang w:eastAsia="ru-RU"/>
        </w:rPr>
      </w:pPr>
      <w:r w:rsidRPr="00A84D72">
        <w:rPr>
          <w:rFonts w:ascii="Times New Roman" w:hAnsi="Times New Roman"/>
          <w:sz w:val="28"/>
          <w:szCs w:val="28"/>
        </w:rPr>
        <w:t>Согласно абзацу 5 пункта 2 ПНД документами о технологическом присоединении</w:t>
      </w:r>
      <w:r>
        <w:rPr>
          <w:rFonts w:ascii="Times New Roman" w:hAnsi="Times New Roman"/>
          <w:sz w:val="28"/>
          <w:szCs w:val="28"/>
        </w:rPr>
        <w:t xml:space="preserve"> являются документы,</w:t>
      </w:r>
      <w:r w:rsidRPr="00A84D72">
        <w:rPr>
          <w:rFonts w:ascii="Times New Roman" w:hAnsi="Times New Roman"/>
          <w:sz w:val="28"/>
          <w:szCs w:val="28"/>
          <w:lang w:eastAsia="ru-RU"/>
        </w:rPr>
        <w:t xml:space="preserve">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соответствии с частью 1 статьи 9.21 </w:t>
      </w:r>
      <w:r>
        <w:rPr>
          <w:sz w:val="28"/>
          <w:szCs w:val="28"/>
        </w:rPr>
        <w:t xml:space="preserve">Кодекса Российской Федерации об административных правонарушениях (далее – </w:t>
      </w:r>
      <w:r w:rsidRPr="000E36EB">
        <w:rPr>
          <w:sz w:val="28"/>
          <w:szCs w:val="28"/>
        </w:rPr>
        <w:t>КоАП</w:t>
      </w:r>
      <w:r>
        <w:rPr>
          <w:sz w:val="28"/>
          <w:szCs w:val="28"/>
        </w:rPr>
        <w:t>)</w:t>
      </w:r>
      <w:r w:rsidRPr="000E36EB">
        <w:rPr>
          <w:sz w:val="28"/>
          <w:szCs w:val="28"/>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B066E" w:rsidRDefault="00DB066E" w:rsidP="00DB066E">
      <w:pPr>
        <w:pStyle w:val="a3"/>
        <w:spacing w:before="0" w:beforeAutospacing="0" w:after="0"/>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w:t>
      </w:r>
      <w:r>
        <w:rPr>
          <w:sz w:val="28"/>
          <w:szCs w:val="28"/>
        </w:rPr>
        <w:t>, потерявший статус территориальной сетевой организации в связи с несоответствием Критериям ТСО,</w:t>
      </w:r>
      <w:r w:rsidRPr="000E36EB">
        <w:rPr>
          <w:sz w:val="28"/>
          <w:szCs w:val="28"/>
        </w:rPr>
        <w:t xml:space="preserve">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DB066E" w:rsidRPr="00A7425D" w:rsidRDefault="00DB066E" w:rsidP="00DB066E">
      <w:pPr>
        <w:pStyle w:val="a3"/>
        <w:spacing w:before="0" w:beforeAutospacing="0" w:after="0"/>
        <w:ind w:firstLine="709"/>
        <w:jc w:val="both"/>
        <w:rPr>
          <w:sz w:val="28"/>
          <w:szCs w:val="28"/>
        </w:rPr>
      </w:pPr>
      <w:r>
        <w:rPr>
          <w:sz w:val="28"/>
          <w:szCs w:val="28"/>
        </w:rPr>
        <w:t xml:space="preserve">Кроме того, с учетом положений статьи 210 ГК РФ такой </w:t>
      </w:r>
      <w:r w:rsidRPr="000E36EB">
        <w:rPr>
          <w:sz w:val="28"/>
          <w:szCs w:val="28"/>
        </w:rPr>
        <w:t xml:space="preserve">собственник </w:t>
      </w:r>
      <w:r>
        <w:rPr>
          <w:sz w:val="28"/>
          <w:szCs w:val="28"/>
        </w:rPr>
        <w:t xml:space="preserve">объектов электросетевого хозяйства, не соответствующий Критериям ТСО или потерявший таковой статус, </w:t>
      </w:r>
      <w:r w:rsidRPr="000E36EB">
        <w:rPr>
          <w:sz w:val="28"/>
          <w:szCs w:val="28"/>
        </w:rPr>
        <w:t xml:space="preserve">несет бремя содержания принадлежащего </w:t>
      </w:r>
      <w:r w:rsidRPr="00A7425D">
        <w:rPr>
          <w:sz w:val="28"/>
          <w:szCs w:val="28"/>
        </w:rPr>
        <w:t>ему имущества в надлежащем состоянии, обеспечивающем переток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DB066E" w:rsidRDefault="00DB066E" w:rsidP="00DB066E">
      <w:pPr>
        <w:spacing w:after="0" w:line="240" w:lineRule="auto"/>
        <w:ind w:firstLine="708"/>
        <w:jc w:val="both"/>
        <w:rPr>
          <w:rFonts w:ascii="Times New Roman" w:eastAsia="Times New Roman" w:hAnsi="Times New Roman"/>
          <w:sz w:val="28"/>
          <w:szCs w:val="28"/>
          <w:lang w:eastAsia="ru-RU"/>
        </w:rPr>
      </w:pPr>
      <w:r w:rsidRPr="00D6126E">
        <w:rPr>
          <w:rFonts w:ascii="Times New Roman" w:eastAsia="Times New Roman" w:hAnsi="Times New Roman"/>
          <w:sz w:val="28"/>
          <w:szCs w:val="28"/>
          <w:lang w:eastAsia="ru-RU"/>
        </w:rPr>
        <w:t>При этом необходимо учитывать позицию ФАС России, изложенную в</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Разъяснениях Президиума ФАС России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7 «Порядок применения Закона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защите конкуренции с учетом правил технологического присоединения, правил</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недискриминационного доступа, правил подключения и законодательства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теплоснабжени</w:t>
      </w:r>
      <w:r>
        <w:rPr>
          <w:rFonts w:ascii="Times New Roman" w:eastAsia="Times New Roman" w:hAnsi="Times New Roman"/>
          <w:sz w:val="28"/>
          <w:szCs w:val="28"/>
          <w:lang w:eastAsia="ru-RU"/>
        </w:rPr>
        <w:t>и</w:t>
      </w:r>
      <w:r w:rsidRPr="00D6126E">
        <w:rPr>
          <w:rFonts w:ascii="Times New Roman" w:eastAsia="Times New Roman" w:hAnsi="Times New Roman"/>
          <w:sz w:val="28"/>
          <w:szCs w:val="28"/>
          <w:lang w:eastAsia="ru-RU"/>
        </w:rPr>
        <w:t xml:space="preserve">», утвержденного протоколом Президиума ФАС России от30.11.2016 </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75" w:name="_Toc487453732"/>
      <w:bookmarkStart w:id="76" w:name="_Toc487453859"/>
      <w:bookmarkStart w:id="77" w:name="_Toc487488266"/>
      <w:bookmarkStart w:id="78" w:name="_Toc487488499"/>
      <w:bookmarkStart w:id="79" w:name="_Toc487657897"/>
      <w:bookmarkStart w:id="80" w:name="_Toc489368942"/>
      <w:bookmarkStart w:id="81"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75"/>
      <w:bookmarkEnd w:id="76"/>
      <w:bookmarkEnd w:id="77"/>
      <w:bookmarkEnd w:id="78"/>
      <w:bookmarkEnd w:id="79"/>
      <w:bookmarkEnd w:id="80"/>
      <w:bookmarkEnd w:id="81"/>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82" w:name="_Toc487453733"/>
      <w:bookmarkStart w:id="83" w:name="_Toc487453860"/>
      <w:bookmarkStart w:id="84" w:name="_Toc487488267"/>
      <w:bookmarkStart w:id="85" w:name="_Toc487488500"/>
      <w:bookmarkStart w:id="86" w:name="_Toc487657898"/>
      <w:bookmarkStart w:id="87" w:name="_Toc489368943"/>
      <w:bookmarkStart w:id="88"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82"/>
      <w:bookmarkEnd w:id="83"/>
      <w:bookmarkEnd w:id="84"/>
      <w:bookmarkEnd w:id="85"/>
      <w:bookmarkEnd w:id="86"/>
      <w:bookmarkEnd w:id="87"/>
      <w:bookmarkEnd w:id="88"/>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89"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89"/>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90"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90"/>
    </w:p>
    <w:sectPr w:rsidR="00B243F6" w:rsidRPr="00B243F6" w:rsidSect="000B72A0">
      <w:footerReference w:type="default" r:id="rId6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D3B" w:rsidRDefault="00334D3B" w:rsidP="000B72A0">
      <w:pPr>
        <w:spacing w:after="0" w:line="240" w:lineRule="auto"/>
      </w:pPr>
      <w:r>
        <w:separator/>
      </w:r>
    </w:p>
  </w:endnote>
  <w:endnote w:type="continuationSeparator" w:id="0">
    <w:p w:rsidR="00334D3B" w:rsidRDefault="00334D3B"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F73D20">
          <w:rPr>
            <w:noProof/>
          </w:rPr>
          <w:t>181</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D3B" w:rsidRDefault="00334D3B" w:rsidP="000B72A0">
      <w:pPr>
        <w:spacing w:after="0" w:line="240" w:lineRule="auto"/>
      </w:pPr>
      <w:r>
        <w:separator/>
      </w:r>
    </w:p>
  </w:footnote>
  <w:footnote w:type="continuationSeparator" w:id="0">
    <w:p w:rsidR="00334D3B" w:rsidRDefault="00334D3B"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 w:id="1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footnote>
  <w:footnote w:id="1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зарубежной терминологии –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Защита нарушителя, основанная на ссылках на перенос издержек пострадавшим лицом, именуется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w:t>
      </w:r>
      <w:r w:rsidRPr="00D306B5">
        <w:rPr>
          <w:rFonts w:ascii="Times New Roman" w:hAnsi="Times New Roman"/>
          <w:sz w:val="18"/>
          <w:szCs w:val="18"/>
          <w:lang w:val="en-US"/>
        </w:rPr>
        <w:t>defense</w:t>
      </w:r>
      <w:r w:rsidRPr="00D306B5">
        <w:rPr>
          <w:rFonts w:ascii="Times New Roman" w:hAnsi="Times New Roman"/>
          <w:sz w:val="18"/>
          <w:szCs w:val="18"/>
        </w:rPr>
        <w:t>.</w:t>
      </w:r>
    </w:p>
  </w:footnote>
  <w:footnote w:id="2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 практике используется термин </w:t>
      </w:r>
      <w:r w:rsidRPr="00D306B5">
        <w:rPr>
          <w:rFonts w:ascii="Times New Roman" w:hAnsi="Times New Roman"/>
          <w:i/>
          <w:sz w:val="18"/>
          <w:szCs w:val="18"/>
          <w:lang w:val="en-US"/>
        </w:rPr>
        <w:t>free</w:t>
      </w:r>
      <w:r w:rsidRPr="00D306B5">
        <w:rPr>
          <w:rFonts w:ascii="Times New Roman" w:hAnsi="Times New Roman"/>
          <w:i/>
          <w:sz w:val="18"/>
          <w:szCs w:val="18"/>
        </w:rPr>
        <w:t xml:space="preserve"> </w:t>
      </w:r>
      <w:r w:rsidRPr="00D306B5">
        <w:rPr>
          <w:rFonts w:ascii="Times New Roman" w:hAnsi="Times New Roman"/>
          <w:i/>
          <w:sz w:val="18"/>
          <w:szCs w:val="18"/>
          <w:lang w:val="en-US"/>
        </w:rPr>
        <w:t>cash</w:t>
      </w:r>
      <w:r w:rsidRPr="00D306B5">
        <w:rPr>
          <w:rFonts w:ascii="Times New Roman" w:hAnsi="Times New Roman"/>
          <w:i/>
          <w:sz w:val="18"/>
          <w:szCs w:val="18"/>
        </w:rPr>
        <w:t xml:space="preserve"> </w:t>
      </w:r>
      <w:r w:rsidRPr="00D306B5">
        <w:rPr>
          <w:rFonts w:ascii="Times New Roman" w:hAnsi="Times New Roman"/>
          <w:i/>
          <w:sz w:val="18"/>
          <w:szCs w:val="18"/>
          <w:lang w:val="en-US"/>
        </w:rPr>
        <w:t>flow</w:t>
      </w:r>
      <w:r w:rsidRPr="00D306B5">
        <w:rPr>
          <w:rFonts w:ascii="Times New Roman" w:hAnsi="Times New Roman"/>
          <w:sz w:val="18"/>
          <w:szCs w:val="18"/>
        </w:rPr>
        <w:t>.</w:t>
      </w:r>
    </w:p>
  </w:footnote>
  <w:footnote w:id="21">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footnote>
  <w:footnote w:id="2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w:t>
      </w:r>
      <w:r w:rsidRPr="00D306B5">
        <w:rPr>
          <w:rFonts w:ascii="Times New Roman" w:hAnsi="Times New Roman"/>
          <w:sz w:val="18"/>
          <w:szCs w:val="18"/>
        </w:rPr>
        <w:tab/>
        <w:t xml:space="preserve">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Wooldridge </w:t>
      </w:r>
      <w:r w:rsidRPr="00D306B5">
        <w:rPr>
          <w:rFonts w:ascii="Times New Roman" w:hAnsi="Times New Roman"/>
          <w:i/>
          <w:sz w:val="18"/>
          <w:szCs w:val="18"/>
        </w:rPr>
        <w:t>Econometric Analysis of Cross Section and Panel Data,</w:t>
      </w:r>
      <w:r w:rsidRPr="00D306B5">
        <w:rPr>
          <w:rFonts w:ascii="Times New Roman" w:hAnsi="Times New Roman"/>
          <w:sz w:val="18"/>
          <w:szCs w:val="18"/>
        </w:rPr>
        <w:t xml:space="preserve"> 2</w:t>
      </w:r>
      <w:r w:rsidRPr="00D306B5">
        <w:rPr>
          <w:rFonts w:ascii="Times New Roman" w:hAnsi="Times New Roman"/>
          <w:sz w:val="18"/>
          <w:szCs w:val="18"/>
          <w:vertAlign w:val="superscript"/>
        </w:rPr>
        <w:t>nd</w:t>
      </w:r>
      <w:r w:rsidRPr="00D306B5">
        <w:rPr>
          <w:rFonts w:ascii="Times New Roman" w:hAnsi="Times New Roman"/>
          <w:sz w:val="18"/>
          <w:szCs w:val="18"/>
        </w:rPr>
        <w:t xml:space="preserve"> edition, MIT Press 2010, или </w:t>
      </w:r>
      <w:r w:rsidRPr="00D306B5">
        <w:rPr>
          <w:rFonts w:ascii="Times New Roman" w:hAnsi="Times New Roman"/>
          <w:bCs/>
          <w:sz w:val="18"/>
          <w:szCs w:val="18"/>
        </w:rPr>
        <w:t xml:space="preserve">Доугерти, К. </w:t>
      </w:r>
      <w:r w:rsidRPr="00D306B5">
        <w:rPr>
          <w:rFonts w:ascii="Times New Roman" w:hAnsi="Times New Roman"/>
          <w:bCs/>
          <w:i/>
          <w:sz w:val="18"/>
          <w:szCs w:val="18"/>
        </w:rPr>
        <w:t>Введение в эконометрику</w:t>
      </w:r>
      <w:r w:rsidRPr="00D306B5">
        <w:rPr>
          <w:rFonts w:ascii="Times New Roman" w:hAnsi="Times New Roman"/>
          <w:bCs/>
          <w:sz w:val="18"/>
          <w:szCs w:val="18"/>
        </w:rPr>
        <w:t>. Издание второе. М.: Инфра-М., 2007</w:t>
      </w:r>
      <w:r w:rsidRPr="00D306B5">
        <w:rPr>
          <w:rFonts w:ascii="Times New Roman" w:hAnsi="Times New Roman"/>
          <w:sz w:val="18"/>
          <w:szCs w:val="18"/>
        </w:rPr>
        <w:t xml:space="preserve">.  </w:t>
      </w:r>
    </w:p>
  </w:footnote>
  <w:footnote w:id="2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 xml:space="preserve">англоязычной </w:t>
      </w:r>
      <w:r w:rsidRPr="0008662E">
        <w:rPr>
          <w:rFonts w:ascii="Times New Roman" w:hAnsi="Times New Roman"/>
          <w:sz w:val="18"/>
          <w:szCs w:val="18"/>
        </w:rPr>
        <w:t>экономической литературе</w:t>
      </w:r>
      <w:r w:rsidRPr="00D306B5">
        <w:rPr>
          <w:rFonts w:ascii="Times New Roman" w:hAnsi="Times New Roman"/>
          <w:sz w:val="18"/>
          <w:szCs w:val="18"/>
        </w:rPr>
        <w:t xml:space="preserve"> используется термин </w:t>
      </w:r>
      <w:r w:rsidRPr="00D306B5">
        <w:rPr>
          <w:rFonts w:ascii="Times New Roman" w:hAnsi="Times New Roman"/>
          <w:i/>
          <w:sz w:val="18"/>
          <w:szCs w:val="18"/>
        </w:rPr>
        <w:t>difference in difference analysis</w:t>
      </w:r>
      <w:r w:rsidRPr="00D306B5">
        <w:rPr>
          <w:rFonts w:ascii="Times New Roman" w:hAnsi="Times New Roman"/>
          <w:sz w:val="18"/>
          <w:szCs w:val="18"/>
        </w:rPr>
        <w:t>.</w:t>
      </w:r>
    </w:p>
  </w:footnote>
  <w:footnote w:id="2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economies of scale</w:t>
      </w:r>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2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используется термин </w:t>
      </w:r>
      <w:r w:rsidRPr="00D306B5">
        <w:rPr>
          <w:rFonts w:ascii="Times New Roman" w:hAnsi="Times New Roman"/>
          <w:i/>
          <w:sz w:val="18"/>
          <w:szCs w:val="18"/>
        </w:rPr>
        <w:t>simulation models</w:t>
      </w:r>
      <w:r w:rsidRPr="00D306B5">
        <w:rPr>
          <w:rFonts w:ascii="Times New Roman" w:hAnsi="Times New Roman"/>
          <w:sz w:val="18"/>
          <w:szCs w:val="18"/>
        </w:rPr>
        <w:t xml:space="preserve">. </w:t>
      </w:r>
    </w:p>
  </w:footnote>
  <w:footnote w:id="26">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footnote>
  <w:footnote w:id="27">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См., например, Ж. Тироль, </w:t>
      </w:r>
      <w:r w:rsidRPr="00D306B5">
        <w:rPr>
          <w:rFonts w:ascii="Times New Roman" w:hAnsi="Times New Roman"/>
          <w:i/>
          <w:sz w:val="18"/>
          <w:szCs w:val="18"/>
        </w:rPr>
        <w:t>Рынки и рыночная власть: теория организации промышленности</w:t>
      </w:r>
      <w:r w:rsidRPr="00D306B5">
        <w:rPr>
          <w:rFonts w:ascii="Times New Roman" w:hAnsi="Times New Roman"/>
          <w:sz w:val="18"/>
          <w:szCs w:val="18"/>
        </w:rPr>
        <w:t>, под редакцией В.М. Гальперина и Л.С. Тарасевича, Санкт-Петербург: Экономическая школа, 2000 г.</w:t>
      </w:r>
    </w:p>
  </w:footnote>
  <w:footnote w:id="2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r w:rsidRPr="00D306B5">
        <w:rPr>
          <w:rFonts w:ascii="Times New Roman" w:hAnsi="Times New Roman"/>
          <w:i/>
          <w:sz w:val="18"/>
          <w:szCs w:val="18"/>
        </w:rPr>
        <w:t xml:space="preserve">downstream </w:t>
      </w:r>
      <w:r w:rsidRPr="00D306B5">
        <w:rPr>
          <w:rFonts w:ascii="Times New Roman" w:hAnsi="Times New Roman"/>
          <w:sz w:val="18"/>
          <w:szCs w:val="18"/>
        </w:rPr>
        <w:t>и</w:t>
      </w:r>
      <w:r w:rsidRPr="00D306B5">
        <w:rPr>
          <w:rFonts w:ascii="Times New Roman" w:hAnsi="Times New Roman"/>
          <w:i/>
          <w:sz w:val="18"/>
          <w:szCs w:val="18"/>
        </w:rPr>
        <w:t xml:space="preserve"> upstream</w:t>
      </w:r>
      <w:r w:rsidRPr="00D306B5">
        <w:rPr>
          <w:rFonts w:ascii="Times New Roman" w:hAnsi="Times New Roman"/>
          <w:sz w:val="18"/>
          <w:szCs w:val="18"/>
        </w:rPr>
        <w:t>, соответственно</w:t>
      </w:r>
      <w:r w:rsidRPr="00D306B5">
        <w:rPr>
          <w:rFonts w:ascii="Times New Roman" w:hAnsi="Times New Roman"/>
          <w:i/>
          <w:sz w:val="18"/>
          <w:szCs w:val="18"/>
        </w:rPr>
        <w:t>.</w:t>
      </w:r>
    </w:p>
  </w:footnote>
  <w:footnote w:id="2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r w:rsidRPr="00D306B5">
        <w:rPr>
          <w:rFonts w:ascii="Times New Roman" w:hAnsi="Times New Roman"/>
          <w:i/>
          <w:sz w:val="18"/>
          <w:szCs w:val="18"/>
        </w:rPr>
        <w:t>direct customers.</w:t>
      </w:r>
    </w:p>
  </w:footnote>
  <w:footnote w:id="3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r w:rsidRPr="00D306B5">
        <w:rPr>
          <w:rFonts w:ascii="Times New Roman" w:hAnsi="Times New Roman"/>
          <w:i/>
          <w:sz w:val="18"/>
          <w:szCs w:val="18"/>
        </w:rPr>
        <w:t>overcharge effect</w:t>
      </w:r>
      <w:r w:rsidRPr="00D306B5">
        <w:rPr>
          <w:rFonts w:ascii="Times New Roman" w:hAnsi="Times New Roman"/>
          <w:sz w:val="18"/>
          <w:szCs w:val="18"/>
        </w:rPr>
        <w:t>,</w:t>
      </w:r>
      <w:r w:rsidRPr="00D306B5">
        <w:rPr>
          <w:rFonts w:ascii="Times New Roman" w:hAnsi="Times New Roman"/>
          <w:i/>
          <w:sz w:val="18"/>
          <w:szCs w:val="18"/>
        </w:rPr>
        <w:t xml:space="preserve"> volume effect </w:t>
      </w:r>
      <w:r w:rsidRPr="00D306B5">
        <w:rPr>
          <w:rFonts w:ascii="Times New Roman" w:hAnsi="Times New Roman"/>
          <w:sz w:val="18"/>
          <w:szCs w:val="18"/>
        </w:rPr>
        <w:t xml:space="preserve">и </w:t>
      </w:r>
      <w:r w:rsidRPr="00D306B5">
        <w:rPr>
          <w:rFonts w:ascii="Times New Roman" w:hAnsi="Times New Roman"/>
          <w:i/>
          <w:sz w:val="18"/>
          <w:szCs w:val="18"/>
        </w:rPr>
        <w:t>pass-on effect</w:t>
      </w:r>
      <w:r w:rsidRPr="00D306B5">
        <w:rPr>
          <w:rFonts w:ascii="Times New Roman" w:hAnsi="Times New Roman"/>
          <w:sz w:val="18"/>
          <w:szCs w:val="18"/>
        </w:rPr>
        <w:t>, соответственно.</w:t>
      </w:r>
    </w:p>
  </w:footnote>
  <w:footnote w:id="31">
    <w:p w:rsidR="00DB066E" w:rsidRPr="005D22E1" w:rsidRDefault="00DB066E" w:rsidP="00DB066E">
      <w:pPr>
        <w:pStyle w:val="a9"/>
        <w:tabs>
          <w:tab w:val="left" w:pos="0"/>
        </w:tabs>
        <w:ind w:firstLine="709"/>
        <w:jc w:val="both"/>
        <w:rPr>
          <w:rFonts w:ascii="Times New Roman" w:hAnsi="Times New Roman"/>
          <w:sz w:val="18"/>
          <w:szCs w:val="18"/>
          <w:lang w:val="en-US"/>
        </w:rPr>
      </w:pPr>
      <w:r w:rsidRPr="00D306B5">
        <w:rPr>
          <w:rStyle w:val="ab"/>
          <w:rFonts w:ascii="Times New Roman" w:hAnsi="Times New Roman"/>
          <w:sz w:val="18"/>
          <w:szCs w:val="18"/>
        </w:rPr>
        <w:footnoteRef/>
      </w:r>
      <w:r w:rsidRPr="005D22E1">
        <w:rPr>
          <w:rFonts w:ascii="Times New Roman" w:hAnsi="Times New Roman"/>
          <w:sz w:val="18"/>
          <w:szCs w:val="18"/>
          <w:lang w:val="en-US"/>
        </w:rPr>
        <w:t xml:space="preserve"> </w:t>
      </w:r>
      <w:r w:rsidRPr="00D306B5">
        <w:rPr>
          <w:rFonts w:ascii="Times New Roman" w:hAnsi="Times New Roman"/>
          <w:sz w:val="18"/>
          <w:szCs w:val="18"/>
        </w:rPr>
        <w:t>См</w:t>
      </w:r>
      <w:r w:rsidRPr="005D22E1">
        <w:rPr>
          <w:rFonts w:ascii="Times New Roman" w:hAnsi="Times New Roman"/>
          <w:sz w:val="18"/>
          <w:szCs w:val="18"/>
          <w:lang w:val="en-US"/>
        </w:rPr>
        <w:t xml:space="preserve">., </w:t>
      </w:r>
      <w:r w:rsidRPr="00D306B5">
        <w:rPr>
          <w:rFonts w:ascii="Times New Roman" w:hAnsi="Times New Roman"/>
          <w:sz w:val="18"/>
          <w:szCs w:val="18"/>
        </w:rPr>
        <w:t>например</w:t>
      </w:r>
      <w:r w:rsidRPr="005D22E1">
        <w:rPr>
          <w:rFonts w:ascii="Times New Roman" w:hAnsi="Times New Roman"/>
          <w:sz w:val="18"/>
          <w:szCs w:val="18"/>
          <w:lang w:val="en-US"/>
        </w:rPr>
        <w:t xml:space="preserve">, A. Mas-Colell, M.D. Whinston, J.R. Green, </w:t>
      </w:r>
      <w:r w:rsidRPr="005D22E1">
        <w:rPr>
          <w:rFonts w:ascii="Times New Roman" w:hAnsi="Times New Roman"/>
          <w:i/>
          <w:sz w:val="18"/>
          <w:szCs w:val="18"/>
          <w:lang w:val="en-US"/>
        </w:rPr>
        <w:t>Microeconomic Theory</w:t>
      </w:r>
      <w:r w:rsidRPr="005D22E1">
        <w:rPr>
          <w:rFonts w:ascii="Times New Roman" w:hAnsi="Times New Roman"/>
          <w:sz w:val="18"/>
          <w:szCs w:val="18"/>
          <w:lang w:val="en-US"/>
        </w:rPr>
        <w:t xml:space="preserve">, Oxford University Press, 1995, </w:t>
      </w:r>
      <w:r w:rsidRPr="00D306B5">
        <w:rPr>
          <w:rFonts w:ascii="Times New Roman" w:hAnsi="Times New Roman"/>
          <w:sz w:val="18"/>
          <w:szCs w:val="18"/>
        </w:rPr>
        <w:t>главы</w:t>
      </w:r>
      <w:r w:rsidRPr="005D22E1">
        <w:rPr>
          <w:rFonts w:ascii="Times New Roman" w:hAnsi="Times New Roman"/>
          <w:sz w:val="18"/>
          <w:szCs w:val="18"/>
          <w:lang w:val="en-US"/>
        </w:rPr>
        <w:t xml:space="preserve"> 2 </w:t>
      </w:r>
      <w:r w:rsidRPr="00D306B5">
        <w:rPr>
          <w:rFonts w:ascii="Times New Roman" w:hAnsi="Times New Roman"/>
          <w:sz w:val="18"/>
          <w:szCs w:val="18"/>
        </w:rPr>
        <w:t>и</w:t>
      </w:r>
      <w:r w:rsidRPr="005D22E1">
        <w:rPr>
          <w:rFonts w:ascii="Times New Roman" w:hAnsi="Times New Roman"/>
          <w:sz w:val="18"/>
          <w:szCs w:val="18"/>
          <w:lang w:val="en-US"/>
        </w:rPr>
        <w:t xml:space="preserve"> 3.</w:t>
      </w:r>
    </w:p>
  </w:footnote>
  <w:footnote w:id="3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r w:rsidRPr="00D306B5">
        <w:rPr>
          <w:rFonts w:ascii="Times New Roman" w:hAnsi="Times New Roman"/>
          <w:i/>
          <w:sz w:val="18"/>
          <w:szCs w:val="18"/>
        </w:rPr>
        <w:t>deadweight loss</w:t>
      </w:r>
      <w:r w:rsidRPr="00D306B5">
        <w:rPr>
          <w:rFonts w:ascii="Times New Roman" w:hAnsi="Times New Roman"/>
          <w:sz w:val="18"/>
          <w:szCs w:val="18"/>
        </w:rPr>
        <w:t>.</w:t>
      </w:r>
    </w:p>
  </w:footnote>
  <w:footnote w:id="3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r w:rsidRPr="00D306B5">
        <w:rPr>
          <w:rFonts w:ascii="Times New Roman" w:hAnsi="Times New Roman"/>
          <w:i/>
          <w:sz w:val="18"/>
          <w:szCs w:val="18"/>
        </w:rPr>
        <w:t>umbrella customers</w:t>
      </w:r>
      <w:r w:rsidRPr="00D306B5">
        <w:rPr>
          <w:rFonts w:ascii="Times New Roman" w:hAnsi="Times New Roman"/>
          <w:sz w:val="18"/>
          <w:szCs w:val="18"/>
        </w:rPr>
        <w:t>.</w:t>
      </w:r>
    </w:p>
  </w:footnote>
  <w:footnote w:id="3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r w:rsidRPr="00D306B5">
        <w:rPr>
          <w:rFonts w:ascii="Times New Roman" w:hAnsi="Times New Roman"/>
          <w:i/>
          <w:sz w:val="18"/>
          <w:szCs w:val="18"/>
        </w:rPr>
        <w:t>bundling и tying</w:t>
      </w:r>
      <w:r w:rsidRPr="00D306B5">
        <w:rPr>
          <w:rFonts w:ascii="Times New Roman" w:hAnsi="Times New Roman"/>
          <w:sz w:val="18"/>
          <w:szCs w:val="18"/>
        </w:rPr>
        <w:t>.</w:t>
      </w:r>
    </w:p>
  </w:footnote>
  <w:footnote w:id="3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economies of scale</w:t>
      </w:r>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36">
    <w:p w:rsidR="00DB066E" w:rsidRPr="00F73F4A" w:rsidRDefault="00DB066E" w:rsidP="00DB066E">
      <w:pPr>
        <w:pStyle w:val="a9"/>
        <w:tabs>
          <w:tab w:val="left" w:pos="0"/>
        </w:tabs>
        <w:ind w:firstLine="709"/>
        <w:jc w:val="both"/>
        <w:rPr>
          <w:rFonts w:cs="Arial"/>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network effects</w:t>
      </w:r>
      <w:r w:rsidRPr="00D306B5">
        <w:rPr>
          <w:rFonts w:ascii="Times New Roman" w:hAnsi="Times New Roman"/>
          <w:sz w:val="18"/>
          <w:szCs w:val="18"/>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footnote>
  <w:footnote w:id="37">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38">
    <w:p w:rsidR="00DB066E" w:rsidRPr="005D22E1"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D22E1">
        <w:rPr>
          <w:rFonts w:ascii="Times New Roman" w:hAnsi="Times New Roman"/>
          <w:sz w:val="18"/>
          <w:szCs w:val="18"/>
        </w:rPr>
        <w:t xml:space="preserve"> </w:t>
      </w:r>
      <w:r>
        <w:rPr>
          <w:rFonts w:ascii="Times New Roman" w:hAnsi="Times New Roman"/>
          <w:sz w:val="18"/>
          <w:szCs w:val="18"/>
        </w:rPr>
        <w:t>Подходы по расчету контрфактуальной прибыли рассмотрены в Разделе 2.2.</w:t>
      </w:r>
    </w:p>
  </w:footnote>
  <w:footnote w:id="39">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40">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Подходы по расчету контрфактуальной прибыли рассмотрены в Разделе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0E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46A3C"/>
    <w:multiLevelType w:val="hybridMultilevel"/>
    <w:tmpl w:val="76984B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15:restartNumberingAfterBreak="0">
    <w:nsid w:val="022D339D"/>
    <w:multiLevelType w:val="hybridMultilevel"/>
    <w:tmpl w:val="790C67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15:restartNumberingAfterBreak="0">
    <w:nsid w:val="038B1E43"/>
    <w:multiLevelType w:val="multilevel"/>
    <w:tmpl w:val="8FD2EF7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15:restartNumberingAfterBreak="0">
    <w:nsid w:val="04FD1E68"/>
    <w:multiLevelType w:val="hybridMultilevel"/>
    <w:tmpl w:val="4838FBEC"/>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51089A"/>
    <w:multiLevelType w:val="hybridMultilevel"/>
    <w:tmpl w:val="528C513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455F4E"/>
    <w:multiLevelType w:val="hybridMultilevel"/>
    <w:tmpl w:val="10B2FCD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15:restartNumberingAfterBreak="0">
    <w:nsid w:val="0B5E575A"/>
    <w:multiLevelType w:val="hybridMultilevel"/>
    <w:tmpl w:val="9CCE0B28"/>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29490D"/>
    <w:multiLevelType w:val="hybridMultilevel"/>
    <w:tmpl w:val="76C4C94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15:restartNumberingAfterBreak="0">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15:restartNumberingAfterBreak="0">
    <w:nsid w:val="182C7808"/>
    <w:multiLevelType w:val="hybridMultilevel"/>
    <w:tmpl w:val="4CF498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606A2F"/>
    <w:multiLevelType w:val="hybridMultilevel"/>
    <w:tmpl w:val="761C9E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15" w15:restartNumberingAfterBreak="0">
    <w:nsid w:val="21FD0E97"/>
    <w:multiLevelType w:val="hybridMultilevel"/>
    <w:tmpl w:val="DA7A2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1418" w:hanging="567"/>
      </w:pPr>
      <w:rPr>
        <w:rFonts w:hint="default"/>
      </w:rPr>
    </w:lvl>
    <w:lvl w:ilvl="2">
      <w:start w:val="1"/>
      <w:numFmt w:val="decimal"/>
      <w:pStyle w:val="RBBNumberedHeadingLevel3"/>
      <w:lvlText w:val="%1.%2.%3."/>
      <w:lvlJc w:val="left"/>
      <w:pPr>
        <w:ind w:left="127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28061C"/>
    <w:multiLevelType w:val="hybridMultilevel"/>
    <w:tmpl w:val="3F2268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36790B42"/>
    <w:multiLevelType w:val="hybridMultilevel"/>
    <w:tmpl w:val="47145A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15:restartNumberingAfterBreak="0">
    <w:nsid w:val="374C18FC"/>
    <w:multiLevelType w:val="hybridMultilevel"/>
    <w:tmpl w:val="73B6A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12A2B10"/>
    <w:multiLevelType w:val="hybridMultilevel"/>
    <w:tmpl w:val="89168142"/>
    <w:lvl w:ilvl="0" w:tplc="0D4EB766">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15:restartNumberingAfterBreak="0">
    <w:nsid w:val="4641780C"/>
    <w:multiLevelType w:val="hybridMultilevel"/>
    <w:tmpl w:val="5832E18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7455976"/>
    <w:multiLevelType w:val="hybridMultilevel"/>
    <w:tmpl w:val="93EA1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FE72701"/>
    <w:multiLevelType w:val="hybridMultilevel"/>
    <w:tmpl w:val="10387F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52235723"/>
    <w:multiLevelType w:val="hybridMultilevel"/>
    <w:tmpl w:val="3C726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54784D97"/>
    <w:multiLevelType w:val="hybridMultilevel"/>
    <w:tmpl w:val="A1F82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7A75DEE"/>
    <w:multiLevelType w:val="multilevel"/>
    <w:tmpl w:val="79CC090E"/>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87D794A"/>
    <w:multiLevelType w:val="hybridMultilevel"/>
    <w:tmpl w:val="BC28C9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5A7D3676"/>
    <w:multiLevelType w:val="hybridMultilevel"/>
    <w:tmpl w:val="397EEC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15:restartNumberingAfterBreak="0">
    <w:nsid w:val="5DEC6698"/>
    <w:multiLevelType w:val="hybridMultilevel"/>
    <w:tmpl w:val="469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AB38FD"/>
    <w:multiLevelType w:val="hybridMultilevel"/>
    <w:tmpl w:val="F92CA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A8C4475"/>
    <w:multiLevelType w:val="multilevel"/>
    <w:tmpl w:val="184C9E1E"/>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E9A6258"/>
    <w:multiLevelType w:val="hybridMultilevel"/>
    <w:tmpl w:val="0A7ED91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2E7FE9"/>
    <w:multiLevelType w:val="hybridMultilevel"/>
    <w:tmpl w:val="C170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735273"/>
    <w:multiLevelType w:val="hybridMultilevel"/>
    <w:tmpl w:val="3ED4D68E"/>
    <w:lvl w:ilvl="0" w:tplc="593A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461066F"/>
    <w:multiLevelType w:val="hybridMultilevel"/>
    <w:tmpl w:val="ED4E55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74A1244B"/>
    <w:multiLevelType w:val="hybridMultilevel"/>
    <w:tmpl w:val="3A089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9C6710D"/>
    <w:multiLevelType w:val="hybridMultilevel"/>
    <w:tmpl w:val="81EEFAD6"/>
    <w:lvl w:ilvl="0" w:tplc="402C26A2">
      <w:start w:val="1"/>
      <w:numFmt w:val="bullet"/>
      <w:pStyle w:val="RBBBullet1"/>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9A47D6"/>
    <w:multiLevelType w:val="hybridMultilevel"/>
    <w:tmpl w:val="60063B14"/>
    <w:lvl w:ilvl="0" w:tplc="0D4EB76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3"/>
  </w:num>
  <w:num w:numId="4">
    <w:abstractNumId w:val="23"/>
  </w:num>
  <w:num w:numId="5">
    <w:abstractNumId w:val="27"/>
  </w:num>
  <w:num w:numId="6">
    <w:abstractNumId w:val="16"/>
  </w:num>
  <w:num w:numId="7">
    <w:abstractNumId w:val="18"/>
  </w:num>
  <w:num w:numId="8">
    <w:abstractNumId w:val="19"/>
  </w:num>
  <w:num w:numId="9">
    <w:abstractNumId w:val="45"/>
  </w:num>
  <w:num w:numId="10">
    <w:abstractNumId w:val="17"/>
  </w:num>
  <w:num w:numId="11">
    <w:abstractNumId w:val="24"/>
  </w:num>
  <w:num w:numId="12">
    <w:abstractNumId w:val="25"/>
  </w:num>
  <w:num w:numId="13">
    <w:abstractNumId w:val="33"/>
  </w:num>
  <w:num w:numId="14">
    <w:abstractNumId w:val="11"/>
  </w:num>
  <w:num w:numId="15">
    <w:abstractNumId w:val="46"/>
  </w:num>
  <w:num w:numId="16">
    <w:abstractNumId w:val="26"/>
  </w:num>
  <w:num w:numId="17">
    <w:abstractNumId w:val="6"/>
  </w:num>
  <w:num w:numId="18">
    <w:abstractNumId w:val="40"/>
  </w:num>
  <w:num w:numId="19">
    <w:abstractNumId w:val="9"/>
  </w:num>
  <w:num w:numId="20">
    <w:abstractNumId w:val="7"/>
  </w:num>
  <w:num w:numId="21">
    <w:abstractNumId w:val="22"/>
  </w:num>
  <w:num w:numId="22">
    <w:abstractNumId w:val="37"/>
  </w:num>
  <w:num w:numId="23">
    <w:abstractNumId w:val="38"/>
  </w:num>
  <w:num w:numId="24">
    <w:abstractNumId w:val="15"/>
  </w:num>
  <w:num w:numId="25">
    <w:abstractNumId w:val="42"/>
  </w:num>
  <w:num w:numId="26">
    <w:abstractNumId w:val="20"/>
  </w:num>
  <w:num w:numId="27">
    <w:abstractNumId w:val="44"/>
  </w:num>
  <w:num w:numId="28">
    <w:abstractNumId w:val="31"/>
  </w:num>
  <w:num w:numId="29">
    <w:abstractNumId w:val="43"/>
  </w:num>
  <w:num w:numId="30">
    <w:abstractNumId w:val="34"/>
  </w:num>
  <w:num w:numId="31">
    <w:abstractNumId w:val="39"/>
  </w:num>
  <w:num w:numId="32">
    <w:abstractNumId w:val="32"/>
  </w:num>
  <w:num w:numId="33">
    <w:abstractNumId w:val="12"/>
  </w:num>
  <w:num w:numId="34">
    <w:abstractNumId w:val="41"/>
  </w:num>
  <w:num w:numId="35">
    <w:abstractNumId w:val="28"/>
  </w:num>
  <w:num w:numId="36">
    <w:abstractNumId w:val="14"/>
  </w:num>
  <w:num w:numId="37">
    <w:abstractNumId w:val="0"/>
  </w:num>
  <w:num w:numId="38">
    <w:abstractNumId w:val="29"/>
  </w:num>
  <w:num w:numId="39">
    <w:abstractNumId w:val="30"/>
  </w:num>
  <w:num w:numId="40">
    <w:abstractNumId w:val="35"/>
  </w:num>
  <w:num w:numId="41">
    <w:abstractNumId w:val="10"/>
  </w:num>
  <w:num w:numId="42">
    <w:abstractNumId w:val="8"/>
  </w:num>
  <w:num w:numId="43">
    <w:abstractNumId w:val="3"/>
  </w:num>
  <w:num w:numId="44">
    <w:abstractNumId w:val="36"/>
  </w:num>
  <w:num w:numId="45">
    <w:abstractNumId w:val="4"/>
  </w:num>
  <w:num w:numId="46">
    <w:abstractNumId w:val="2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32233"/>
    <w:rsid w:val="000B72A0"/>
    <w:rsid w:val="000E6392"/>
    <w:rsid w:val="0015341E"/>
    <w:rsid w:val="001E163F"/>
    <w:rsid w:val="00245C27"/>
    <w:rsid w:val="00334D3B"/>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B243F6"/>
    <w:rsid w:val="00B56DC6"/>
    <w:rsid w:val="00B65DDA"/>
    <w:rsid w:val="00C601CB"/>
    <w:rsid w:val="00C92207"/>
    <w:rsid w:val="00D52262"/>
    <w:rsid w:val="00DB066E"/>
    <w:rsid w:val="00E04AB7"/>
    <w:rsid w:val="00E17A9B"/>
    <w:rsid w:val="00E86D41"/>
    <w:rsid w:val="00EF2351"/>
    <w:rsid w:val="00F73D20"/>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hyperlink" Target="garantF1://10064072.15001" TargetMode="External"/><Relationship Id="rId47" Type="http://schemas.openxmlformats.org/officeDocument/2006/relationships/hyperlink" Target="consultantplus://offline/ref=61B257B3C7D624DADC34CFDC4B2909EC6A5F93D58B770A01570CE6B6EA88DE9150F059FDD354457DaBB3I" TargetMode="External"/><Relationship Id="rId50" Type="http://schemas.openxmlformats.org/officeDocument/2006/relationships/chart" Target="charts/chart1.xml"/><Relationship Id="rId55" Type="http://schemas.openxmlformats.org/officeDocument/2006/relationships/image" Target="media/image3.gi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54" Type="http://schemas.openxmlformats.org/officeDocument/2006/relationships/image" Target="media/image2.gi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45" Type="http://schemas.openxmlformats.org/officeDocument/2006/relationships/hyperlink" Target="garantF1://10064072.15" TargetMode="External"/><Relationship Id="rId53" Type="http://schemas.openxmlformats.org/officeDocument/2006/relationships/image" Target="media/image1.gif"/><Relationship Id="rId58"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49" Type="http://schemas.openxmlformats.org/officeDocument/2006/relationships/hyperlink" Target="consultantplus://offline/ref=61B257B3C7D624DADC34CFDC4B2909EC6A5F93DF8E710A01570CE6B6EA88DE9150F059FDD354467DaBB2I" TargetMode="External"/><Relationship Id="rId57" Type="http://schemas.openxmlformats.org/officeDocument/2006/relationships/chart" Target="charts/chart5.xml"/><Relationship Id="rId61" Type="http://schemas.openxmlformats.org/officeDocument/2006/relationships/chart" Target="charts/chart9.xm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hyperlink" Target="garantF1://10064072.10642" TargetMode="External"/><Relationship Id="rId52" Type="http://schemas.openxmlformats.org/officeDocument/2006/relationships/chart" Target="charts/chart3.xml"/><Relationship Id="rId60"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hyperlink" Target="garantF1://10064072.40102" TargetMode="External"/><Relationship Id="rId48" Type="http://schemas.openxmlformats.org/officeDocument/2006/relationships/hyperlink" Target="consultantplus://offline/ref=61B257B3C7D624DADC34CFDC4B2909EC6A5F93D58B770A01570CE6B6EA88DE9150F059FDD3544276aBB2I" TargetMode="External"/><Relationship Id="rId56" Type="http://schemas.openxmlformats.org/officeDocument/2006/relationships/chart" Target="charts/chart4.xml"/><Relationship Id="rId64" Type="http://schemas.openxmlformats.org/officeDocument/2006/relationships/theme" Target="theme/theme1.xml"/><Relationship Id="rId8" Type="http://schemas.openxmlformats.org/officeDocument/2006/relationships/hyperlink" Target="consultantplus://offline/ref=C90ECD3A4076B14028AB480C8DE99C960F219DEE4C6FB7627D38291E7FF923A1AEDBDA984E1862B6v2I" TargetMode="External"/><Relationship Id="rId51"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46" Type="http://schemas.openxmlformats.org/officeDocument/2006/relationships/hyperlink" Target="http://kad.arbitr.ru/Card/f19c32fe-f324-4ed2-9ec2-f8d46b2211e6" TargetMode="External"/><Relationship Id="rId59"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ndu\projects\damages\draft-2\&#1043;&#1088;&#1072;&#1092;&#1080;&#1082;&#108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ndu\projects\damages\draft-2\&#1043;&#1088;&#1072;&#1092;&#1080;&#1082;&#1080;-1.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ndu\projects\damages\draft-2\&#1043;&#1088;&#1072;&#1092;&#1080;&#1082;&#1080;-1.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ndu\projects\damages\draft-2\&#1043;&#1088;&#1072;&#1092;&#1080;&#1082;&#108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Экстраполяция!$E$1</c:f>
              <c:strCache>
                <c:ptCount val="1"/>
                <c:pt idx="0">
                  <c:v>Фактическая цена</c:v>
                </c:pt>
              </c:strCache>
            </c:strRef>
          </c:tx>
          <c:spPr>
            <a:ln w="12703">
              <a:solidFill>
                <a:schemeClr val="tx1"/>
              </a:solidFill>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Экстраполяция!$E$2:$E$11</c:f>
              <c:numCache>
                <c:formatCode>General</c:formatCode>
                <c:ptCount val="10"/>
                <c:pt idx="0">
                  <c:v>9.9328207739600689</c:v>
                </c:pt>
                <c:pt idx="1">
                  <c:v>9.5458922467342546</c:v>
                </c:pt>
                <c:pt idx="2">
                  <c:v>10.92713552349662</c:v>
                </c:pt>
                <c:pt idx="3">
                  <c:v>9.7200699588860537</c:v>
                </c:pt>
                <c:pt idx="4">
                  <c:v>10.091020198336931</c:v>
                </c:pt>
                <c:pt idx="5">
                  <c:v>8.7807823699860705</c:v>
                </c:pt>
                <c:pt idx="6">
                  <c:v>14.63031919276926</c:v>
                </c:pt>
                <c:pt idx="7">
                  <c:v>13.961977922799068</c:v>
                </c:pt>
                <c:pt idx="8">
                  <c:v>13.363416514102576</c:v>
                </c:pt>
                <c:pt idx="9">
                  <c:v>16.179835643506831</c:v>
                </c:pt>
              </c:numCache>
            </c:numRef>
          </c:val>
          <c:smooth val="0"/>
        </c:ser>
        <c:ser>
          <c:idx val="0"/>
          <c:order val="1"/>
          <c:tx>
            <c:strRef>
              <c:f>Экстраполяция!$F$1</c:f>
              <c:strCache>
                <c:ptCount val="1"/>
                <c:pt idx="0">
                  <c:v>Контрфактуальная цена</c:v>
                </c:pt>
              </c:strCache>
            </c:strRef>
          </c:tx>
          <c:spPr>
            <a:ln w="19054">
              <a:solidFill>
                <a:schemeClr val="tx1"/>
              </a:solidFill>
              <a:prstDash val="sysDot"/>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Экстраполяция!$F$2:$F$11</c:f>
              <c:numCache>
                <c:formatCode>General</c:formatCode>
                <c:ptCount val="10"/>
                <c:pt idx="5">
                  <c:v>8.7807823699860705</c:v>
                </c:pt>
                <c:pt idx="6">
                  <c:v>9.8329535119000067</c:v>
                </c:pt>
                <c:pt idx="7">
                  <c:v>9.8329535119000067</c:v>
                </c:pt>
                <c:pt idx="8">
                  <c:v>9.8329535119000067</c:v>
                </c:pt>
                <c:pt idx="9">
                  <c:v>9.8329535119000067</c:v>
                </c:pt>
              </c:numCache>
            </c:numRef>
          </c:val>
          <c:smooth val="0"/>
        </c:ser>
        <c:dLbls>
          <c:showLegendKey val="0"/>
          <c:showVal val="0"/>
          <c:showCatName val="0"/>
          <c:showSerName val="0"/>
          <c:showPercent val="0"/>
          <c:showBubbleSize val="0"/>
        </c:dLbls>
        <c:smooth val="0"/>
        <c:axId val="6913464"/>
        <c:axId val="143714064"/>
      </c:lineChart>
      <c:catAx>
        <c:axId val="6913464"/>
        <c:scaling>
          <c:orientation val="minMax"/>
        </c:scaling>
        <c:delete val="0"/>
        <c:axPos val="b"/>
        <c:numFmt formatCode="General" sourceLinked="1"/>
        <c:majorTickMark val="out"/>
        <c:minorTickMark val="none"/>
        <c:tickLblPos val="nextTo"/>
        <c:txPr>
          <a:bodyPr rot="-2700000"/>
          <a:lstStyle/>
          <a:p>
            <a:pPr>
              <a:defRPr/>
            </a:pPr>
            <a:endParaRPr lang="ru-RU"/>
          </a:p>
        </c:txPr>
        <c:crossAx val="143714064"/>
        <c:crosses val="autoZero"/>
        <c:auto val="1"/>
        <c:lblAlgn val="ctr"/>
        <c:lblOffset val="100"/>
        <c:tickLblSkip val="1"/>
        <c:noMultiLvlLbl val="0"/>
      </c:catAx>
      <c:valAx>
        <c:axId val="143714064"/>
        <c:scaling>
          <c:orientation val="minMax"/>
          <c:min val="6"/>
        </c:scaling>
        <c:delete val="0"/>
        <c:axPos val="l"/>
        <c:majorGridlines/>
        <c:numFmt formatCode="General" sourceLinked="1"/>
        <c:majorTickMark val="out"/>
        <c:minorTickMark val="none"/>
        <c:tickLblPos val="nextTo"/>
        <c:crossAx val="6913464"/>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Интерполяция!$E$1</c:f>
              <c:strCache>
                <c:ptCount val="1"/>
                <c:pt idx="0">
                  <c:v>Фактическая цена</c:v>
                </c:pt>
              </c:strCache>
            </c:strRef>
          </c:tx>
          <c:spPr>
            <a:ln w="12703">
              <a:solidFill>
                <a:schemeClr val="tx1"/>
              </a:solidFill>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Интерполяция!$E$2:$E$11</c:f>
              <c:numCache>
                <c:formatCode>General</c:formatCode>
                <c:ptCount val="10"/>
                <c:pt idx="0">
                  <c:v>9.5859638232971029</c:v>
                </c:pt>
                <c:pt idx="1">
                  <c:v>8.4440422342406727</c:v>
                </c:pt>
                <c:pt idx="2">
                  <c:v>10.447736793522516</c:v>
                </c:pt>
                <c:pt idx="3">
                  <c:v>10</c:v>
                </c:pt>
                <c:pt idx="4">
                  <c:v>17.314790437520806</c:v>
                </c:pt>
                <c:pt idx="5">
                  <c:v>15.777306460135113</c:v>
                </c:pt>
                <c:pt idx="6">
                  <c:v>16.982767339237064</c:v>
                </c:pt>
                <c:pt idx="7">
                  <c:v>12</c:v>
                </c:pt>
                <c:pt idx="8">
                  <c:v>12.485833759474964</c:v>
                </c:pt>
                <c:pt idx="9">
                  <c:v>11.450420529041276</c:v>
                </c:pt>
              </c:numCache>
            </c:numRef>
          </c:val>
          <c:smooth val="0"/>
        </c:ser>
        <c:ser>
          <c:idx val="0"/>
          <c:order val="1"/>
          <c:tx>
            <c:strRef>
              <c:f>Интерполяция!$F$1</c:f>
              <c:strCache>
                <c:ptCount val="1"/>
                <c:pt idx="0">
                  <c:v>Контрфактуальная цена</c:v>
                </c:pt>
              </c:strCache>
            </c:strRef>
          </c:tx>
          <c:spPr>
            <a:ln w="19054">
              <a:solidFill>
                <a:schemeClr val="tx1"/>
              </a:solidFill>
              <a:prstDash val="sysDot"/>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Интерполяция!$F$2:$F$11</c:f>
              <c:numCache>
                <c:formatCode>General</c:formatCode>
                <c:ptCount val="10"/>
                <c:pt idx="3">
                  <c:v>10</c:v>
                </c:pt>
                <c:pt idx="4">
                  <c:v>10.5</c:v>
                </c:pt>
                <c:pt idx="5">
                  <c:v>11</c:v>
                </c:pt>
                <c:pt idx="6">
                  <c:v>11.5</c:v>
                </c:pt>
                <c:pt idx="7">
                  <c:v>12</c:v>
                </c:pt>
              </c:numCache>
            </c:numRef>
          </c:val>
          <c:smooth val="0"/>
        </c:ser>
        <c:dLbls>
          <c:showLegendKey val="0"/>
          <c:showVal val="0"/>
          <c:showCatName val="0"/>
          <c:showSerName val="0"/>
          <c:showPercent val="0"/>
          <c:showBubbleSize val="0"/>
        </c:dLbls>
        <c:smooth val="0"/>
        <c:axId val="236180512"/>
        <c:axId val="236659072"/>
      </c:lineChart>
      <c:catAx>
        <c:axId val="236180512"/>
        <c:scaling>
          <c:orientation val="minMax"/>
        </c:scaling>
        <c:delete val="0"/>
        <c:axPos val="b"/>
        <c:numFmt formatCode="General" sourceLinked="1"/>
        <c:majorTickMark val="out"/>
        <c:minorTickMark val="none"/>
        <c:tickLblPos val="nextTo"/>
        <c:txPr>
          <a:bodyPr rot="-2700000"/>
          <a:lstStyle/>
          <a:p>
            <a:pPr>
              <a:defRPr/>
            </a:pPr>
            <a:endParaRPr lang="ru-RU"/>
          </a:p>
        </c:txPr>
        <c:crossAx val="236659072"/>
        <c:crosses val="autoZero"/>
        <c:auto val="1"/>
        <c:lblAlgn val="ctr"/>
        <c:lblOffset val="100"/>
        <c:noMultiLvlLbl val="0"/>
      </c:catAx>
      <c:valAx>
        <c:axId val="236659072"/>
        <c:scaling>
          <c:orientation val="minMax"/>
          <c:min val="6"/>
        </c:scaling>
        <c:delete val="0"/>
        <c:axPos val="l"/>
        <c:majorGridlines/>
        <c:numFmt formatCode="General" sourceLinked="1"/>
        <c:majorTickMark val="out"/>
        <c:minorTickMark val="none"/>
        <c:tickLblPos val="nextTo"/>
        <c:crossAx val="236180512"/>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'Метод разностей'!$E$1</c:f>
              <c:strCache>
                <c:ptCount val="1"/>
                <c:pt idx="0">
                  <c:v>Фактическая цена в регионе А</c:v>
                </c:pt>
              </c:strCache>
            </c:strRef>
          </c:tx>
          <c:spPr>
            <a:ln w="12703">
              <a:solidFill>
                <a:schemeClr val="tx1"/>
              </a:solidFill>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разностей'!$E$2:$E$11</c:f>
              <c:numCache>
                <c:formatCode>General</c:formatCode>
                <c:ptCount val="10"/>
                <c:pt idx="0">
                  <c:v>10.977915804613634</c:v>
                </c:pt>
                <c:pt idx="1">
                  <c:v>11.251350769979618</c:v>
                </c:pt>
                <c:pt idx="2">
                  <c:v>13.540901372882368</c:v>
                </c:pt>
                <c:pt idx="3">
                  <c:v>13.066544239771172</c:v>
                </c:pt>
                <c:pt idx="4">
                  <c:v>16.780509012841179</c:v>
                </c:pt>
                <c:pt idx="5">
                  <c:v>13.324860275430037</c:v>
                </c:pt>
                <c:pt idx="6">
                  <c:v>12.983080250356776</c:v>
                </c:pt>
                <c:pt idx="7">
                  <c:v>15.990957823758</c:v>
                </c:pt>
                <c:pt idx="8">
                  <c:v>11.751867013728567</c:v>
                </c:pt>
                <c:pt idx="9">
                  <c:v>12.41845963737917</c:v>
                </c:pt>
              </c:numCache>
            </c:numRef>
          </c:val>
          <c:smooth val="0"/>
        </c:ser>
        <c:ser>
          <c:idx val="0"/>
          <c:order val="1"/>
          <c:tx>
            <c:strRef>
              <c:f>'Метод разностей'!$G$1</c:f>
              <c:strCache>
                <c:ptCount val="1"/>
                <c:pt idx="0">
                  <c:v>Контрфактуальная цена в регионе А</c:v>
                </c:pt>
              </c:strCache>
            </c:strRef>
          </c:tx>
          <c:spPr>
            <a:ln w="19054">
              <a:solidFill>
                <a:schemeClr val="tx1"/>
              </a:solidFill>
              <a:prstDash val="sysDot"/>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разностей'!$G$2:$G$11</c:f>
              <c:numCache>
                <c:formatCode>General</c:formatCode>
                <c:ptCount val="10"/>
                <c:pt idx="3">
                  <c:v>13.066544239771172</c:v>
                </c:pt>
                <c:pt idx="4">
                  <c:v>11.969204721208802</c:v>
                </c:pt>
                <c:pt idx="5">
                  <c:v>10.375487589905614</c:v>
                </c:pt>
                <c:pt idx="6">
                  <c:v>10.633198381973155</c:v>
                </c:pt>
                <c:pt idx="7">
                  <c:v>12.032078923975748</c:v>
                </c:pt>
                <c:pt idx="8">
                  <c:v>11.751867013728567</c:v>
                </c:pt>
              </c:numCache>
            </c:numRef>
          </c:val>
          <c:smooth val="0"/>
        </c:ser>
        <c:ser>
          <c:idx val="2"/>
          <c:order val="2"/>
          <c:tx>
            <c:strRef>
              <c:f>'Метод разностей'!$F$1</c:f>
              <c:strCache>
                <c:ptCount val="1"/>
                <c:pt idx="0">
                  <c:v>Цена на сопоставимом рынке в регионе Б</c:v>
                </c:pt>
              </c:strCache>
            </c:strRef>
          </c:tx>
          <c:spPr>
            <a:ln w="12703">
              <a:solidFill>
                <a:schemeClr val="tx1"/>
              </a:solidFill>
              <a:prstDash val="lgDash"/>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разностей'!$F$2:$F$11</c:f>
              <c:numCache>
                <c:formatCode>General</c:formatCode>
                <c:ptCount val="10"/>
                <c:pt idx="0">
                  <c:v>8.9779158046136338</c:v>
                </c:pt>
                <c:pt idx="1">
                  <c:v>9.2513507699796182</c:v>
                </c:pt>
                <c:pt idx="2">
                  <c:v>11.540901372882368</c:v>
                </c:pt>
                <c:pt idx="3">
                  <c:v>11.066544239771172</c:v>
                </c:pt>
                <c:pt idx="4">
                  <c:v>9.9692047212088024</c:v>
                </c:pt>
                <c:pt idx="5">
                  <c:v>8.3754875899056103</c:v>
                </c:pt>
                <c:pt idx="6">
                  <c:v>8.6331983819731519</c:v>
                </c:pt>
                <c:pt idx="7">
                  <c:v>10.032078923975748</c:v>
                </c:pt>
                <c:pt idx="8">
                  <c:v>9.7518670137285675</c:v>
                </c:pt>
                <c:pt idx="9">
                  <c:v>10.41845963737917</c:v>
                </c:pt>
              </c:numCache>
            </c:numRef>
          </c:val>
          <c:smooth val="0"/>
        </c:ser>
        <c:dLbls>
          <c:showLegendKey val="0"/>
          <c:showVal val="0"/>
          <c:showCatName val="0"/>
          <c:showSerName val="0"/>
          <c:showPercent val="0"/>
          <c:showBubbleSize val="0"/>
        </c:dLbls>
        <c:smooth val="0"/>
        <c:axId val="236322512"/>
        <c:axId val="236396768"/>
      </c:lineChart>
      <c:catAx>
        <c:axId val="236322512"/>
        <c:scaling>
          <c:orientation val="minMax"/>
        </c:scaling>
        <c:delete val="0"/>
        <c:axPos val="b"/>
        <c:numFmt formatCode="General" sourceLinked="1"/>
        <c:majorTickMark val="out"/>
        <c:minorTickMark val="none"/>
        <c:tickLblPos val="nextTo"/>
        <c:crossAx val="236396768"/>
        <c:crosses val="autoZero"/>
        <c:auto val="1"/>
        <c:lblAlgn val="ctr"/>
        <c:lblOffset val="100"/>
        <c:noMultiLvlLbl val="0"/>
      </c:catAx>
      <c:valAx>
        <c:axId val="236396768"/>
        <c:scaling>
          <c:orientation val="minMax"/>
          <c:min val="6"/>
        </c:scaling>
        <c:delete val="0"/>
        <c:axPos val="l"/>
        <c:majorGridlines/>
        <c:numFmt formatCode="General" sourceLinked="1"/>
        <c:majorTickMark val="out"/>
        <c:minorTickMark val="none"/>
        <c:tickLblPos val="nextTo"/>
        <c:crossAx val="236322512"/>
        <c:crosses val="autoZero"/>
        <c:crossBetween val="midCat"/>
      </c:valAx>
      <c:spPr>
        <a:solidFill>
          <a:schemeClr val="bg1">
            <a:lumMod val="85000"/>
          </a:schemeClr>
        </a:solidFill>
      </c:spPr>
    </c:plotArea>
    <c:legend>
      <c:legendPos val="b"/>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lineChart>
        <c:grouping val="standard"/>
        <c:varyColors val="0"/>
        <c:ser>
          <c:idx val="1"/>
          <c:order val="0"/>
          <c:tx>
            <c:strRef>
              <c:f>ОК2!$G$1</c:f>
              <c:strCache>
                <c:ptCount val="1"/>
                <c:pt idx="0">
                  <c:v>Фактическая доля рынка</c:v>
                </c:pt>
              </c:strCache>
            </c:strRef>
          </c:tx>
          <c:spPr>
            <a:ln w="19023">
              <a:solidFill>
                <a:schemeClr val="tx1"/>
              </a:solidFill>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ОК2!$H$1</c:f>
              <c:strCache>
                <c:ptCount val="1"/>
                <c:pt idx="0">
                  <c:v>Прогноз доли рынка</c:v>
                </c:pt>
              </c:strCache>
            </c:strRef>
          </c:tx>
          <c:spPr>
            <a:ln w="19023">
              <a:solidFill>
                <a:schemeClr val="tx1"/>
              </a:solidFill>
              <a:prstDash val="lgDash"/>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ОК2!$I$1</c:f>
              <c:strCache>
                <c:ptCount val="1"/>
                <c:pt idx="0">
                  <c:v>Контрфакт. доля рынка</c:v>
                </c:pt>
              </c:strCache>
            </c:strRef>
          </c:tx>
          <c:spPr>
            <a:ln w="19023">
              <a:solidFill>
                <a:schemeClr val="tx1"/>
              </a:solidFill>
              <a:prstDash val="sysDot"/>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236576072"/>
        <c:axId val="236784168"/>
      </c:lineChart>
      <c:scatterChart>
        <c:scatterStyle val="lineMarker"/>
        <c:varyColors val="0"/>
        <c:ser>
          <c:idx val="8"/>
          <c:order val="3"/>
          <c:tx>
            <c:strRef>
              <c:f>ОК2!$D$20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ОК2!$D$21:$D$22</c:f>
              <c:numCache>
                <c:formatCode>General</c:formatCode>
                <c:ptCount val="2"/>
                <c:pt idx="0">
                  <c:v>4</c:v>
                </c:pt>
                <c:pt idx="1">
                  <c:v>4</c:v>
                </c:pt>
              </c:numCache>
            </c:numRef>
          </c:xVal>
          <c:yVal>
            <c:numRef>
              <c:f>ОК2!$E$21:$E$22</c:f>
              <c:numCache>
                <c:formatCode>General</c:formatCode>
                <c:ptCount val="2"/>
                <c:pt idx="0">
                  <c:v>0</c:v>
                </c:pt>
                <c:pt idx="1">
                  <c:v>0.24000000000000021</c:v>
                </c:pt>
              </c:numCache>
            </c:numRef>
          </c:yVal>
          <c:smooth val="0"/>
        </c:ser>
        <c:ser>
          <c:idx val="9"/>
          <c:order val="4"/>
          <c:tx>
            <c:strRef>
              <c:f>ОК2!$D$24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ОК2!$D$25:$D$26</c:f>
              <c:numCache>
                <c:formatCode>General</c:formatCode>
                <c:ptCount val="2"/>
                <c:pt idx="0">
                  <c:v>7</c:v>
                </c:pt>
                <c:pt idx="1">
                  <c:v>7</c:v>
                </c:pt>
              </c:numCache>
            </c:numRef>
          </c:xVal>
          <c:yVal>
            <c:numRef>
              <c:f>ОК2!$E$25:$E$26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236763664"/>
        <c:axId val="236795384"/>
      </c:scatterChart>
      <c:catAx>
        <c:axId val="236576072"/>
        <c:scaling>
          <c:orientation val="minMax"/>
        </c:scaling>
        <c:delete val="0"/>
        <c:axPos val="b"/>
        <c:numFmt formatCode="General" sourceLinked="1"/>
        <c:majorTickMark val="out"/>
        <c:minorTickMark val="none"/>
        <c:tickLblPos val="nextTo"/>
        <c:crossAx val="236784168"/>
        <c:crosses val="autoZero"/>
        <c:auto val="1"/>
        <c:lblAlgn val="ctr"/>
        <c:lblOffset val="100"/>
        <c:tickMarkSkip val="3"/>
        <c:noMultiLvlLbl val="0"/>
      </c:catAx>
      <c:valAx>
        <c:axId val="236784168"/>
        <c:scaling>
          <c:orientation val="minMax"/>
          <c:max val="0.27"/>
          <c:min val="0"/>
        </c:scaling>
        <c:delete val="0"/>
        <c:axPos val="l"/>
        <c:majorGridlines/>
        <c:numFmt formatCode="0%" sourceLinked="0"/>
        <c:majorTickMark val="out"/>
        <c:minorTickMark val="none"/>
        <c:tickLblPos val="nextTo"/>
        <c:crossAx val="236576072"/>
        <c:crosses val="autoZero"/>
        <c:crossBetween val="midCat"/>
        <c:majorUnit val="0.1"/>
      </c:valAx>
      <c:valAx>
        <c:axId val="236763664"/>
        <c:scaling>
          <c:orientation val="minMax"/>
        </c:scaling>
        <c:delete val="1"/>
        <c:axPos val="t"/>
        <c:numFmt formatCode="General" sourceLinked="1"/>
        <c:majorTickMark val="out"/>
        <c:minorTickMark val="none"/>
        <c:tickLblPos val="none"/>
        <c:crossAx val="236795384"/>
        <c:crosses val="max"/>
        <c:crossBetween val="midCat"/>
      </c:valAx>
      <c:valAx>
        <c:axId val="236795384"/>
        <c:scaling>
          <c:orientation val="minMax"/>
        </c:scaling>
        <c:delete val="1"/>
        <c:axPos val="r"/>
        <c:numFmt formatCode="General" sourceLinked="1"/>
        <c:majorTickMark val="out"/>
        <c:minorTickMark val="none"/>
        <c:tickLblPos val="none"/>
        <c:crossAx val="236763664"/>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areaChart>
        <c:grouping val="stacked"/>
        <c:varyColors val="0"/>
        <c:ser>
          <c:idx val="6"/>
          <c:order val="3"/>
          <c:tx>
            <c:strRef>
              <c:f>ОК1!$J$1</c:f>
              <c:strCache>
                <c:ptCount val="1"/>
                <c:pt idx="0">
                  <c:v>Нижняя граница</c:v>
                </c:pt>
              </c:strCache>
            </c:strRef>
          </c:tx>
          <c:spPr>
            <a:noFill/>
            <a:ln w="0"/>
          </c:spPr>
          <c:cat>
            <c:numRef>
              <c:f>ОК1!$F$2:$F$16</c:f>
              <c:numCache>
                <c:formatCode>General</c:formatCode>
                <c:ptCount val="15"/>
                <c:pt idx="0">
                  <c:v>2010</c:v>
                </c:pt>
                <c:pt idx="3">
                  <c:v>2011</c:v>
                </c:pt>
                <c:pt idx="6">
                  <c:v>2012</c:v>
                </c:pt>
                <c:pt idx="9">
                  <c:v>2013</c:v>
                </c:pt>
                <c:pt idx="12">
                  <c:v>2014</c:v>
                </c:pt>
              </c:numCache>
            </c:numRef>
          </c:cat>
          <c:val>
            <c:numRef>
              <c:f>ОК1!$J$2:$J$16</c:f>
              <c:numCache>
                <c:formatCode>General</c:formatCode>
                <c:ptCount val="15"/>
                <c:pt idx="3">
                  <c:v>0.2</c:v>
                </c:pt>
                <c:pt idx="4">
                  <c:v>0.12966752763128267</c:v>
                </c:pt>
                <c:pt idx="5">
                  <c:v>0.10618947951654016</c:v>
                </c:pt>
                <c:pt idx="6">
                  <c:v>9.9129284448181476E-2</c:v>
                </c:pt>
                <c:pt idx="7">
                  <c:v>0.11428571428571445</c:v>
                </c:pt>
                <c:pt idx="8">
                  <c:v>0.12857142857142881</c:v>
                </c:pt>
                <c:pt idx="9">
                  <c:v>0.14285714285714318</c:v>
                </c:pt>
                <c:pt idx="10">
                  <c:v>0.15714285714285739</c:v>
                </c:pt>
                <c:pt idx="11">
                  <c:v>0.17142857142857137</c:v>
                </c:pt>
                <c:pt idx="12">
                  <c:v>0.18571428571428614</c:v>
                </c:pt>
                <c:pt idx="13">
                  <c:v>0.2</c:v>
                </c:pt>
              </c:numCache>
            </c:numRef>
          </c:val>
        </c:ser>
        <c:ser>
          <c:idx val="7"/>
          <c:order val="4"/>
          <c:tx>
            <c:strRef>
              <c:f>ОК1!$K$1</c:f>
              <c:strCache>
                <c:ptCount val="1"/>
                <c:pt idx="0">
                  <c:v>Верхняя граница</c:v>
                </c:pt>
              </c:strCache>
            </c:strRef>
          </c:tx>
          <c:spPr>
            <a:solidFill>
              <a:schemeClr val="bg1"/>
            </a:solidFill>
            <a:ln>
              <a:noFill/>
            </a:ln>
          </c:spPr>
          <c:cat>
            <c:numRef>
              <c:f>ОК1!$F$2:$F$16</c:f>
              <c:numCache>
                <c:formatCode>General</c:formatCode>
                <c:ptCount val="15"/>
                <c:pt idx="0">
                  <c:v>2010</c:v>
                </c:pt>
                <c:pt idx="3">
                  <c:v>2011</c:v>
                </c:pt>
                <c:pt idx="6">
                  <c:v>2012</c:v>
                </c:pt>
                <c:pt idx="9">
                  <c:v>2013</c:v>
                </c:pt>
                <c:pt idx="12">
                  <c:v>2014</c:v>
                </c:pt>
              </c:numCache>
            </c:numRef>
          </c:cat>
          <c:val>
            <c:numRef>
              <c:f>ОК1!$K$2:$K$16</c:f>
              <c:numCache>
                <c:formatCode>General</c:formatCode>
                <c:ptCount val="15"/>
                <c:pt idx="3">
                  <c:v>0</c:v>
                </c:pt>
                <c:pt idx="4">
                  <c:v>7.0332472368717341E-2</c:v>
                </c:pt>
                <c:pt idx="5">
                  <c:v>9.3810520483460058E-2</c:v>
                </c:pt>
                <c:pt idx="6">
                  <c:v>0.10087071555181852</c:v>
                </c:pt>
                <c:pt idx="7">
                  <c:v>8.5714285714285715E-2</c:v>
                </c:pt>
                <c:pt idx="8">
                  <c:v>7.1428571428571425E-2</c:v>
                </c:pt>
                <c:pt idx="9">
                  <c:v>5.7142857142857141E-2</c:v>
                </c:pt>
                <c:pt idx="10">
                  <c:v>4.2857142857142913E-2</c:v>
                </c:pt>
                <c:pt idx="11">
                  <c:v>2.8571428571428591E-2</c:v>
                </c:pt>
                <c:pt idx="12">
                  <c:v>1.4285714285714285E-2</c:v>
                </c:pt>
                <c:pt idx="13">
                  <c:v>0</c:v>
                </c:pt>
              </c:numCache>
            </c:numRef>
          </c:val>
        </c:ser>
        <c:dLbls>
          <c:showLegendKey val="0"/>
          <c:showVal val="0"/>
          <c:showCatName val="0"/>
          <c:showSerName val="0"/>
          <c:showPercent val="0"/>
          <c:showBubbleSize val="0"/>
        </c:dLbls>
        <c:axId val="32868848"/>
        <c:axId val="32869240"/>
      </c:areaChart>
      <c:lineChart>
        <c:grouping val="standard"/>
        <c:varyColors val="0"/>
        <c:ser>
          <c:idx val="1"/>
          <c:order val="0"/>
          <c:tx>
            <c:strRef>
              <c:f>ОК1!$G$1</c:f>
              <c:strCache>
                <c:ptCount val="1"/>
                <c:pt idx="0">
                  <c:v>Фактическая прибыль</c:v>
                </c:pt>
              </c:strCache>
            </c:strRef>
          </c:tx>
          <c:spPr>
            <a:ln w="19023">
              <a:solidFill>
                <a:schemeClr val="tx1"/>
              </a:solidFill>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ОК1!$H$1</c:f>
              <c:strCache>
                <c:ptCount val="1"/>
                <c:pt idx="0">
                  <c:v>Прогноз прибыли</c:v>
                </c:pt>
              </c:strCache>
            </c:strRef>
          </c:tx>
          <c:spPr>
            <a:ln w="19023">
              <a:solidFill>
                <a:schemeClr val="tx1"/>
              </a:solidFill>
              <a:prstDash val="lgDash"/>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ОК1!$I$1</c:f>
              <c:strCache>
                <c:ptCount val="1"/>
                <c:pt idx="0">
                  <c:v>Контрфакт. прибыль</c:v>
                </c:pt>
              </c:strCache>
            </c:strRef>
          </c:tx>
          <c:spPr>
            <a:ln w="19023">
              <a:solidFill>
                <a:schemeClr val="tx1"/>
              </a:solidFill>
              <a:prstDash val="sysDot"/>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32868848"/>
        <c:axId val="32869240"/>
      </c:lineChart>
      <c:scatterChart>
        <c:scatterStyle val="lineMarker"/>
        <c:varyColors val="0"/>
        <c:ser>
          <c:idx val="8"/>
          <c:order val="5"/>
          <c:tx>
            <c:strRef>
              <c:f>ОК1!$D$20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ОК1!$D$21:$D$22</c:f>
              <c:numCache>
                <c:formatCode>General</c:formatCode>
                <c:ptCount val="2"/>
                <c:pt idx="0">
                  <c:v>4</c:v>
                </c:pt>
                <c:pt idx="1">
                  <c:v>4</c:v>
                </c:pt>
              </c:numCache>
            </c:numRef>
          </c:xVal>
          <c:yVal>
            <c:numRef>
              <c:f>ОК1!$E$21:$E$22</c:f>
              <c:numCache>
                <c:formatCode>General</c:formatCode>
                <c:ptCount val="2"/>
                <c:pt idx="0">
                  <c:v>0</c:v>
                </c:pt>
                <c:pt idx="1">
                  <c:v>0.24000000000000021</c:v>
                </c:pt>
              </c:numCache>
            </c:numRef>
          </c:yVal>
          <c:smooth val="0"/>
        </c:ser>
        <c:ser>
          <c:idx val="9"/>
          <c:order val="6"/>
          <c:tx>
            <c:strRef>
              <c:f>ОК1!$D$24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ОК1!$D$25:$D$26</c:f>
              <c:numCache>
                <c:formatCode>General</c:formatCode>
                <c:ptCount val="2"/>
                <c:pt idx="0">
                  <c:v>7</c:v>
                </c:pt>
                <c:pt idx="1">
                  <c:v>7</c:v>
                </c:pt>
              </c:numCache>
            </c:numRef>
          </c:xVal>
          <c:yVal>
            <c:numRef>
              <c:f>ОК1!$E$25:$E$26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32869632"/>
        <c:axId val="32870024"/>
      </c:scatterChart>
      <c:catAx>
        <c:axId val="32868848"/>
        <c:scaling>
          <c:orientation val="minMax"/>
        </c:scaling>
        <c:delete val="0"/>
        <c:axPos val="b"/>
        <c:numFmt formatCode="General" sourceLinked="1"/>
        <c:majorTickMark val="out"/>
        <c:minorTickMark val="none"/>
        <c:tickLblPos val="nextTo"/>
        <c:crossAx val="32869240"/>
        <c:crosses val="autoZero"/>
        <c:auto val="1"/>
        <c:lblAlgn val="ctr"/>
        <c:lblOffset val="100"/>
        <c:tickMarkSkip val="3"/>
        <c:noMultiLvlLbl val="0"/>
      </c:catAx>
      <c:valAx>
        <c:axId val="32869240"/>
        <c:scaling>
          <c:orientation val="minMax"/>
          <c:max val="0.27"/>
          <c:min val="0"/>
        </c:scaling>
        <c:delete val="0"/>
        <c:axPos val="l"/>
        <c:majorGridlines/>
        <c:numFmt formatCode="General" sourceLinked="1"/>
        <c:majorTickMark val="out"/>
        <c:minorTickMark val="none"/>
        <c:tickLblPos val="none"/>
        <c:crossAx val="32868848"/>
        <c:crosses val="autoZero"/>
        <c:crossBetween val="midCat"/>
        <c:majorUnit val="0.1"/>
      </c:valAx>
      <c:valAx>
        <c:axId val="32869632"/>
        <c:scaling>
          <c:orientation val="minMax"/>
        </c:scaling>
        <c:delete val="1"/>
        <c:axPos val="t"/>
        <c:numFmt formatCode="General" sourceLinked="1"/>
        <c:majorTickMark val="out"/>
        <c:minorTickMark val="none"/>
        <c:tickLblPos val="none"/>
        <c:crossAx val="32870024"/>
        <c:crosses val="max"/>
        <c:crossBetween val="midCat"/>
      </c:valAx>
      <c:valAx>
        <c:axId val="32870024"/>
        <c:scaling>
          <c:orientation val="minMax"/>
        </c:scaling>
        <c:delete val="1"/>
        <c:axPos val="r"/>
        <c:numFmt formatCode="General" sourceLinked="1"/>
        <c:majorTickMark val="out"/>
        <c:minorTickMark val="none"/>
        <c:tickLblPos val="none"/>
        <c:crossAx val="32869632"/>
        <c:crosses val="max"/>
        <c:crossBetween val="midCat"/>
      </c:val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LHS'!$G$1</c:f>
              <c:strCache>
                <c:ptCount val="1"/>
                <c:pt idx="0">
                  <c:v>Фактическое кол-во</c:v>
                </c:pt>
              </c:strCache>
            </c:strRef>
          </c:tx>
          <c:spPr>
            <a:ln w="19050">
              <a:solidFill>
                <a:schemeClr val="tx1"/>
              </a:solidFill>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LHS'!$H$1</c:f>
              <c:strCache>
                <c:ptCount val="1"/>
                <c:pt idx="0">
                  <c:v>Прогноз</c:v>
                </c:pt>
              </c:strCache>
            </c:strRef>
          </c:tx>
          <c:spPr>
            <a:ln w="19050">
              <a:solidFill>
                <a:schemeClr val="tx1"/>
              </a:solidFill>
              <a:prstDash val="lgDash"/>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LHS'!$I$1</c:f>
              <c:strCache>
                <c:ptCount val="1"/>
                <c:pt idx="0">
                  <c:v>Контрфакт. кол-во</c:v>
                </c:pt>
              </c:strCache>
            </c:strRef>
          </c:tx>
          <c:spPr>
            <a:ln w="19050">
              <a:solidFill>
                <a:schemeClr val="tx1"/>
              </a:solidFill>
              <a:prstDash val="sysDot"/>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237411584"/>
        <c:axId val="237411976"/>
      </c:lineChart>
      <c:scatterChart>
        <c:scatterStyle val="lineMarker"/>
        <c:varyColors val="0"/>
        <c:ser>
          <c:idx val="8"/>
          <c:order val="3"/>
          <c:tx>
            <c:strRef>
              <c:f>'Юристы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LHS'!$D$21:$D$22</c:f>
              <c:numCache>
                <c:formatCode>General</c:formatCode>
                <c:ptCount val="2"/>
                <c:pt idx="0">
                  <c:v>4</c:v>
                </c:pt>
                <c:pt idx="1">
                  <c:v>4</c:v>
                </c:pt>
              </c:numCache>
            </c:numRef>
          </c:xVal>
          <c:yVal>
            <c:numRef>
              <c:f>'Юристы LHS'!$E$21:$E$22</c:f>
              <c:numCache>
                <c:formatCode>General</c:formatCode>
                <c:ptCount val="2"/>
                <c:pt idx="0">
                  <c:v>0</c:v>
                </c:pt>
                <c:pt idx="1">
                  <c:v>120</c:v>
                </c:pt>
              </c:numCache>
            </c:numRef>
          </c:yVal>
          <c:smooth val="0"/>
        </c:ser>
        <c:ser>
          <c:idx val="9"/>
          <c:order val="4"/>
          <c:tx>
            <c:strRef>
              <c:f>'Юристы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LHS'!$D$25:$D$26</c:f>
              <c:numCache>
                <c:formatCode>General</c:formatCode>
                <c:ptCount val="2"/>
                <c:pt idx="0">
                  <c:v>7</c:v>
                </c:pt>
                <c:pt idx="1">
                  <c:v>7</c:v>
                </c:pt>
              </c:numCache>
            </c:numRef>
          </c:xVal>
          <c:yVal>
            <c:numRef>
              <c:f>'Юристы LHS'!$E$25:$E$26</c:f>
              <c:numCache>
                <c:formatCode>General</c:formatCode>
                <c:ptCount val="2"/>
                <c:pt idx="0">
                  <c:v>0</c:v>
                </c:pt>
                <c:pt idx="1">
                  <c:v>105</c:v>
                </c:pt>
              </c:numCache>
            </c:numRef>
          </c:yVal>
          <c:smooth val="0"/>
        </c:ser>
        <c:dLbls>
          <c:showLegendKey val="0"/>
          <c:showVal val="0"/>
          <c:showCatName val="0"/>
          <c:showSerName val="0"/>
          <c:showPercent val="0"/>
          <c:showBubbleSize val="0"/>
        </c:dLbls>
        <c:axId val="237412760"/>
        <c:axId val="237412368"/>
      </c:scatterChart>
      <c:catAx>
        <c:axId val="237411584"/>
        <c:scaling>
          <c:orientation val="minMax"/>
        </c:scaling>
        <c:delete val="0"/>
        <c:axPos val="b"/>
        <c:numFmt formatCode="General" sourceLinked="1"/>
        <c:majorTickMark val="out"/>
        <c:minorTickMark val="none"/>
        <c:tickLblPos val="nextTo"/>
        <c:crossAx val="237411976"/>
        <c:crosses val="autoZero"/>
        <c:auto val="1"/>
        <c:lblAlgn val="ctr"/>
        <c:lblOffset val="100"/>
        <c:tickMarkSkip val="3"/>
        <c:noMultiLvlLbl val="0"/>
      </c:catAx>
      <c:valAx>
        <c:axId val="237411976"/>
        <c:scaling>
          <c:orientation val="minMax"/>
          <c:max val="130"/>
          <c:min val="0"/>
        </c:scaling>
        <c:delete val="0"/>
        <c:axPos val="l"/>
        <c:majorGridlines/>
        <c:numFmt formatCode="#,##0_);\(#,##0\)" sourceLinked="0"/>
        <c:majorTickMark val="out"/>
        <c:minorTickMark val="none"/>
        <c:tickLblPos val="nextTo"/>
        <c:crossAx val="237411584"/>
        <c:crosses val="autoZero"/>
        <c:crossBetween val="midCat"/>
        <c:majorUnit val="20"/>
      </c:valAx>
      <c:valAx>
        <c:axId val="237412368"/>
        <c:scaling>
          <c:orientation val="minMax"/>
        </c:scaling>
        <c:delete val="1"/>
        <c:axPos val="r"/>
        <c:numFmt formatCode="General" sourceLinked="1"/>
        <c:majorTickMark val="out"/>
        <c:minorTickMark val="none"/>
        <c:tickLblPos val="none"/>
        <c:crossAx val="237412760"/>
        <c:crosses val="max"/>
        <c:crossBetween val="midCat"/>
      </c:valAx>
      <c:valAx>
        <c:axId val="237412760"/>
        <c:scaling>
          <c:orientation val="minMax"/>
        </c:scaling>
        <c:delete val="1"/>
        <c:axPos val="t"/>
        <c:numFmt formatCode="General" sourceLinked="1"/>
        <c:majorTickMark val="out"/>
        <c:minorTickMark val="none"/>
        <c:tickLblPos val="none"/>
        <c:crossAx val="237412368"/>
        <c:crosses val="max"/>
        <c:crossBetween val="midCat"/>
      </c:valAx>
      <c:spPr>
        <a:solidFill>
          <a:schemeClr val="bg1">
            <a:lumMod val="85000"/>
          </a:schemeClr>
        </a:solidFill>
      </c:spPr>
    </c:plotArea>
    <c:legend>
      <c:legendPos val="b"/>
      <c:legendEntry>
        <c:idx val="3"/>
        <c:delete val="1"/>
      </c:legendEntry>
      <c:legendEntry>
        <c:idx val="4"/>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5"/>
          <c:tx>
            <c:strRef>
              <c:f>'Юристы RHS'!$J$1</c:f>
              <c:strCache>
                <c:ptCount val="1"/>
                <c:pt idx="0">
                  <c:v>Нижняя граница</c:v>
                </c:pt>
              </c:strCache>
            </c:strRef>
          </c:tx>
          <c:spPr>
            <a:noFill/>
          </c:spPr>
          <c:val>
            <c:numRef>
              <c:f>'Юристы RHS'!$J$2:$J$16</c:f>
              <c:numCache>
                <c:formatCode>General</c:formatCode>
                <c:ptCount val="15"/>
                <c:pt idx="3">
                  <c:v>100</c:v>
                </c:pt>
                <c:pt idx="4">
                  <c:v>64.833763815641348</c:v>
                </c:pt>
                <c:pt idx="5">
                  <c:v>53.09473975827008</c:v>
                </c:pt>
                <c:pt idx="6">
                  <c:v>49.564642224090761</c:v>
                </c:pt>
                <c:pt idx="7">
                  <c:v>53.09473975827008</c:v>
                </c:pt>
                <c:pt idx="8">
                  <c:v>64.833763815641348</c:v>
                </c:pt>
                <c:pt idx="9">
                  <c:v>100</c:v>
                </c:pt>
              </c:numCache>
            </c:numRef>
          </c:val>
        </c:ser>
        <c:ser>
          <c:idx val="3"/>
          <c:order val="6"/>
          <c:tx>
            <c:strRef>
              <c:f>'Юристы RHS'!$K$1</c:f>
              <c:strCache>
                <c:ptCount val="1"/>
                <c:pt idx="0">
                  <c:v>Верхняя граница</c:v>
                </c:pt>
              </c:strCache>
            </c:strRef>
          </c:tx>
          <c:spPr>
            <a:solidFill>
              <a:schemeClr val="bg1"/>
            </a:solidFill>
          </c:spPr>
          <c:val>
            <c:numRef>
              <c:f>'Юристы RHS'!$K$2:$K$15</c:f>
              <c:numCache>
                <c:formatCode>General</c:formatCode>
                <c:ptCount val="14"/>
                <c:pt idx="3">
                  <c:v>0</c:v>
                </c:pt>
                <c:pt idx="4">
                  <c:v>35.16623618435861</c:v>
                </c:pt>
                <c:pt idx="5">
                  <c:v>46.905260241729962</c:v>
                </c:pt>
                <c:pt idx="6">
                  <c:v>50.43535777590926</c:v>
                </c:pt>
                <c:pt idx="7">
                  <c:v>46.905260241729962</c:v>
                </c:pt>
                <c:pt idx="8">
                  <c:v>35.16623618435861</c:v>
                </c:pt>
                <c:pt idx="9">
                  <c:v>0</c:v>
                </c:pt>
              </c:numCache>
            </c:numRef>
          </c:val>
        </c:ser>
        <c:dLbls>
          <c:showLegendKey val="0"/>
          <c:showVal val="0"/>
          <c:showCatName val="0"/>
          <c:showSerName val="0"/>
          <c:showPercent val="0"/>
          <c:showBubbleSize val="0"/>
        </c:dLbls>
        <c:axId val="237414720"/>
        <c:axId val="237414328"/>
      </c:areaChart>
      <c:lineChart>
        <c:grouping val="standard"/>
        <c:varyColors val="0"/>
        <c:ser>
          <c:idx val="1"/>
          <c:order val="0"/>
          <c:tx>
            <c:strRef>
              <c:f>'Юристы RHS'!$G$1</c:f>
              <c:strCache>
                <c:ptCount val="1"/>
                <c:pt idx="0">
                  <c:v>Фактическая прибыль</c:v>
                </c:pt>
              </c:strCache>
            </c:strRef>
          </c:tx>
          <c:spPr>
            <a:ln w="19050">
              <a:solidFill>
                <a:schemeClr val="tx1"/>
              </a:solidFill>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RHS'!$H$1</c:f>
              <c:strCache>
                <c:ptCount val="1"/>
                <c:pt idx="0">
                  <c:v>Прогноз прибыли</c:v>
                </c:pt>
              </c:strCache>
            </c:strRef>
          </c:tx>
          <c:spPr>
            <a:ln w="19050">
              <a:solidFill>
                <a:schemeClr val="tx1"/>
              </a:solidFill>
              <a:prstDash val="lgDash"/>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RHS'!$I$1</c:f>
              <c:strCache>
                <c:ptCount val="1"/>
                <c:pt idx="0">
                  <c:v>Контрфакт. прибыль</c:v>
                </c:pt>
              </c:strCache>
            </c:strRef>
          </c:tx>
          <c:spPr>
            <a:ln w="19050">
              <a:solidFill>
                <a:schemeClr val="tx1"/>
              </a:solidFill>
              <a:prstDash val="sysDot"/>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237413544"/>
        <c:axId val="237413936"/>
      </c:lineChart>
      <c:scatterChart>
        <c:scatterStyle val="lineMarker"/>
        <c:varyColors val="0"/>
        <c:ser>
          <c:idx val="8"/>
          <c:order val="3"/>
          <c:tx>
            <c:strRef>
              <c:f>'Юристы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RHS'!$D$21:$D$22</c:f>
              <c:numCache>
                <c:formatCode>General</c:formatCode>
                <c:ptCount val="2"/>
                <c:pt idx="0">
                  <c:v>4</c:v>
                </c:pt>
                <c:pt idx="1">
                  <c:v>4</c:v>
                </c:pt>
              </c:numCache>
            </c:numRef>
          </c:xVal>
          <c:yVal>
            <c:numRef>
              <c:f>'Юристы RHS'!$E$21:$E$22</c:f>
              <c:numCache>
                <c:formatCode>General</c:formatCode>
                <c:ptCount val="2"/>
                <c:pt idx="0">
                  <c:v>0</c:v>
                </c:pt>
                <c:pt idx="1">
                  <c:v>120</c:v>
                </c:pt>
              </c:numCache>
            </c:numRef>
          </c:yVal>
          <c:smooth val="0"/>
        </c:ser>
        <c:ser>
          <c:idx val="9"/>
          <c:order val="4"/>
          <c:tx>
            <c:strRef>
              <c:f>'Юристы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RHS'!$D$25:$D$26</c:f>
              <c:numCache>
                <c:formatCode>General</c:formatCode>
                <c:ptCount val="2"/>
                <c:pt idx="0">
                  <c:v>7</c:v>
                </c:pt>
                <c:pt idx="1">
                  <c:v>7</c:v>
                </c:pt>
              </c:numCache>
            </c:numRef>
          </c:xVal>
          <c:yVal>
            <c:numRef>
              <c:f>'Юристы RHS'!$E$25:$E$26</c:f>
              <c:numCache>
                <c:formatCode>General</c:formatCode>
                <c:ptCount val="2"/>
                <c:pt idx="0">
                  <c:v>0</c:v>
                </c:pt>
                <c:pt idx="1">
                  <c:v>105</c:v>
                </c:pt>
              </c:numCache>
            </c:numRef>
          </c:yVal>
          <c:smooth val="0"/>
        </c:ser>
        <c:dLbls>
          <c:showLegendKey val="0"/>
          <c:showVal val="0"/>
          <c:showCatName val="0"/>
          <c:showSerName val="0"/>
          <c:showPercent val="0"/>
          <c:showBubbleSize val="0"/>
        </c:dLbls>
        <c:axId val="237414720"/>
        <c:axId val="237414328"/>
      </c:scatterChart>
      <c:catAx>
        <c:axId val="237413544"/>
        <c:scaling>
          <c:orientation val="minMax"/>
        </c:scaling>
        <c:delete val="0"/>
        <c:axPos val="b"/>
        <c:numFmt formatCode="General" sourceLinked="1"/>
        <c:majorTickMark val="out"/>
        <c:minorTickMark val="none"/>
        <c:tickLblPos val="nextTo"/>
        <c:crossAx val="237413936"/>
        <c:crosses val="autoZero"/>
        <c:auto val="1"/>
        <c:lblAlgn val="ctr"/>
        <c:lblOffset val="100"/>
        <c:tickMarkSkip val="3"/>
        <c:noMultiLvlLbl val="0"/>
      </c:catAx>
      <c:valAx>
        <c:axId val="237413936"/>
        <c:scaling>
          <c:orientation val="minMax"/>
          <c:max val="130"/>
          <c:min val="0"/>
        </c:scaling>
        <c:delete val="0"/>
        <c:axPos val="l"/>
        <c:majorGridlines/>
        <c:numFmt formatCode="#,##0_);\(#,##0\)" sourceLinked="0"/>
        <c:majorTickMark val="out"/>
        <c:minorTickMark val="none"/>
        <c:tickLblPos val="nextTo"/>
        <c:crossAx val="237413544"/>
        <c:crosses val="autoZero"/>
        <c:crossBetween val="between"/>
        <c:majorUnit val="20"/>
      </c:valAx>
      <c:valAx>
        <c:axId val="237414328"/>
        <c:scaling>
          <c:orientation val="minMax"/>
        </c:scaling>
        <c:delete val="1"/>
        <c:axPos val="r"/>
        <c:numFmt formatCode="General" sourceLinked="1"/>
        <c:majorTickMark val="out"/>
        <c:minorTickMark val="none"/>
        <c:tickLblPos val="none"/>
        <c:crossAx val="237414720"/>
        <c:crosses val="max"/>
        <c:crossBetween val="between"/>
      </c:valAx>
      <c:catAx>
        <c:axId val="237414720"/>
        <c:scaling>
          <c:orientation val="minMax"/>
        </c:scaling>
        <c:delete val="1"/>
        <c:axPos val="t"/>
        <c:numFmt formatCode="General" sourceLinked="1"/>
        <c:majorTickMark val="out"/>
        <c:minorTickMark val="none"/>
        <c:tickLblPos val="none"/>
        <c:crossAx val="237414328"/>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2 LHS'!$G$1</c:f>
              <c:strCache>
                <c:ptCount val="1"/>
                <c:pt idx="0">
                  <c:v>Фактическая доля рынка</c:v>
                </c:pt>
              </c:strCache>
            </c:strRef>
          </c:tx>
          <c:spPr>
            <a:ln w="19050">
              <a:solidFill>
                <a:schemeClr val="tx1"/>
              </a:solidFill>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LHS'!$G$2:$G$13</c:f>
              <c:numCache>
                <c:formatCode>General</c:formatCode>
                <c:ptCount val="12"/>
                <c:pt idx="0">
                  <c:v>0.4</c:v>
                </c:pt>
                <c:pt idx="1">
                  <c:v>0.4</c:v>
                </c:pt>
                <c:pt idx="2">
                  <c:v>0.4</c:v>
                </c:pt>
                <c:pt idx="3">
                  <c:v>0.4</c:v>
                </c:pt>
                <c:pt idx="4">
                  <c:v>0</c:v>
                </c:pt>
                <c:pt idx="5">
                  <c:v>0</c:v>
                </c:pt>
                <c:pt idx="6">
                  <c:v>0.4</c:v>
                </c:pt>
                <c:pt idx="7">
                  <c:v>0.4</c:v>
                </c:pt>
                <c:pt idx="8">
                  <c:v>0.4</c:v>
                </c:pt>
                <c:pt idx="9">
                  <c:v>0.4</c:v>
                </c:pt>
                <c:pt idx="10">
                  <c:v>0.4</c:v>
                </c:pt>
                <c:pt idx="11">
                  <c:v>0.4</c:v>
                </c:pt>
              </c:numCache>
            </c:numRef>
          </c:val>
          <c:smooth val="0"/>
        </c:ser>
        <c:ser>
          <c:idx val="4"/>
          <c:order val="1"/>
          <c:tx>
            <c:strRef>
              <c:f>'Юристы 2 LHS'!$I$1</c:f>
              <c:strCache>
                <c:ptCount val="1"/>
                <c:pt idx="0">
                  <c:v>Контрфакт. доля рынка</c:v>
                </c:pt>
              </c:strCache>
            </c:strRef>
          </c:tx>
          <c:spPr>
            <a:ln w="19050">
              <a:solidFill>
                <a:schemeClr val="tx1"/>
              </a:solidFill>
              <a:prstDash val="sysDot"/>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LHS'!$I$2:$I$13</c:f>
              <c:numCache>
                <c:formatCode>General</c:formatCode>
                <c:ptCount val="12"/>
                <c:pt idx="3">
                  <c:v>0.4</c:v>
                </c:pt>
                <c:pt idx="4">
                  <c:v>0.4</c:v>
                </c:pt>
                <c:pt idx="5">
                  <c:v>0.4</c:v>
                </c:pt>
                <c:pt idx="6">
                  <c:v>0.4</c:v>
                </c:pt>
                <c:pt idx="7">
                  <c:v>0.4</c:v>
                </c:pt>
                <c:pt idx="8">
                  <c:v>0.4</c:v>
                </c:pt>
                <c:pt idx="9">
                  <c:v>0.4</c:v>
                </c:pt>
              </c:numCache>
            </c:numRef>
          </c:val>
          <c:smooth val="0"/>
        </c:ser>
        <c:dLbls>
          <c:showLegendKey val="0"/>
          <c:showVal val="0"/>
          <c:showCatName val="0"/>
          <c:showSerName val="0"/>
          <c:showPercent val="0"/>
          <c:showBubbleSize val="0"/>
        </c:dLbls>
        <c:marker val="1"/>
        <c:smooth val="0"/>
        <c:axId val="237887880"/>
        <c:axId val="237888272"/>
      </c:lineChart>
      <c:scatterChart>
        <c:scatterStyle val="lineMarker"/>
        <c:varyColors val="0"/>
        <c:ser>
          <c:idx val="8"/>
          <c:order val="2"/>
          <c:tx>
            <c:strRef>
              <c:f>'Юристы 2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LHS'!$D$21:$D$22</c:f>
              <c:numCache>
                <c:formatCode>General</c:formatCode>
                <c:ptCount val="2"/>
                <c:pt idx="0">
                  <c:v>4</c:v>
                </c:pt>
                <c:pt idx="1">
                  <c:v>4</c:v>
                </c:pt>
              </c:numCache>
            </c:numRef>
          </c:xVal>
          <c:yVal>
            <c:numRef>
              <c:f>'Юристы 2 LHS'!$E$21:$E$22</c:f>
              <c:numCache>
                <c:formatCode>General</c:formatCode>
                <c:ptCount val="2"/>
                <c:pt idx="0">
                  <c:v>0</c:v>
                </c:pt>
                <c:pt idx="1">
                  <c:v>0.5</c:v>
                </c:pt>
              </c:numCache>
            </c:numRef>
          </c:yVal>
          <c:smooth val="0"/>
        </c:ser>
        <c:ser>
          <c:idx val="9"/>
          <c:order val="3"/>
          <c:tx>
            <c:strRef>
              <c:f>'Юристы 2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LHS'!$D$25:$D$26</c:f>
              <c:numCache>
                <c:formatCode>General</c:formatCode>
                <c:ptCount val="2"/>
                <c:pt idx="0">
                  <c:v>7</c:v>
                </c:pt>
                <c:pt idx="1">
                  <c:v>7</c:v>
                </c:pt>
              </c:numCache>
            </c:numRef>
          </c:xVal>
          <c:yVal>
            <c:numRef>
              <c:f>'Юристы 2 LHS'!$E$25:$E$26</c:f>
              <c:numCache>
                <c:formatCode>General</c:formatCode>
                <c:ptCount val="2"/>
                <c:pt idx="0">
                  <c:v>0</c:v>
                </c:pt>
                <c:pt idx="1">
                  <c:v>0.44</c:v>
                </c:pt>
              </c:numCache>
            </c:numRef>
          </c:yVal>
          <c:smooth val="0"/>
        </c:ser>
        <c:dLbls>
          <c:showLegendKey val="0"/>
          <c:showVal val="0"/>
          <c:showCatName val="0"/>
          <c:showSerName val="0"/>
          <c:showPercent val="0"/>
          <c:showBubbleSize val="0"/>
        </c:dLbls>
        <c:axId val="237889056"/>
        <c:axId val="237888664"/>
      </c:scatterChart>
      <c:catAx>
        <c:axId val="237887880"/>
        <c:scaling>
          <c:orientation val="minMax"/>
        </c:scaling>
        <c:delete val="0"/>
        <c:axPos val="b"/>
        <c:numFmt formatCode="General" sourceLinked="1"/>
        <c:majorTickMark val="out"/>
        <c:minorTickMark val="none"/>
        <c:tickLblPos val="nextTo"/>
        <c:crossAx val="237888272"/>
        <c:crosses val="autoZero"/>
        <c:auto val="1"/>
        <c:lblAlgn val="ctr"/>
        <c:lblOffset val="100"/>
        <c:tickMarkSkip val="3"/>
        <c:noMultiLvlLbl val="0"/>
      </c:catAx>
      <c:valAx>
        <c:axId val="237888272"/>
        <c:scaling>
          <c:orientation val="minMax"/>
          <c:max val="0.55000000000000004"/>
          <c:min val="0"/>
        </c:scaling>
        <c:delete val="0"/>
        <c:axPos val="l"/>
        <c:majorGridlines/>
        <c:numFmt formatCode="0%" sourceLinked="0"/>
        <c:majorTickMark val="out"/>
        <c:minorTickMark val="none"/>
        <c:tickLblPos val="nextTo"/>
        <c:crossAx val="237887880"/>
        <c:crosses val="autoZero"/>
        <c:crossBetween val="midCat"/>
        <c:majorUnit val="0.2"/>
      </c:valAx>
      <c:valAx>
        <c:axId val="237888664"/>
        <c:scaling>
          <c:orientation val="minMax"/>
        </c:scaling>
        <c:delete val="1"/>
        <c:axPos val="r"/>
        <c:numFmt formatCode="General" sourceLinked="1"/>
        <c:majorTickMark val="out"/>
        <c:minorTickMark val="none"/>
        <c:tickLblPos val="none"/>
        <c:crossAx val="237889056"/>
        <c:crosses val="max"/>
        <c:crossBetween val="midCat"/>
      </c:valAx>
      <c:valAx>
        <c:axId val="237889056"/>
        <c:scaling>
          <c:orientation val="minMax"/>
        </c:scaling>
        <c:delete val="1"/>
        <c:axPos val="t"/>
        <c:numFmt formatCode="General" sourceLinked="1"/>
        <c:majorTickMark val="out"/>
        <c:minorTickMark val="none"/>
        <c:tickLblPos val="none"/>
        <c:crossAx val="237888664"/>
        <c:crosses val="max"/>
        <c:crossBetween val="midCat"/>
      </c:valAx>
      <c:spPr>
        <a:solidFill>
          <a:schemeClr val="bg1">
            <a:lumMod val="85000"/>
          </a:schemeClr>
        </a:solidFill>
      </c:spPr>
    </c:plotArea>
    <c:legend>
      <c:legendPos val="b"/>
      <c:legendEntry>
        <c:idx val="2"/>
        <c:delete val="1"/>
      </c:legendEntry>
      <c:legendEntry>
        <c:idx val="3"/>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4"/>
          <c:tx>
            <c:strRef>
              <c:f>'Юристы 2 RHS'!$J$1</c:f>
              <c:strCache>
                <c:ptCount val="1"/>
                <c:pt idx="0">
                  <c:v>Нижняя граница</c:v>
                </c:pt>
              </c:strCache>
            </c:strRef>
          </c:tx>
          <c:spPr>
            <a:noFill/>
          </c:spPr>
          <c:val>
            <c:numRef>
              <c:f>'Юристы 2 RHS'!$J$2:$J$13</c:f>
              <c:numCache>
                <c:formatCode>General</c:formatCode>
                <c:ptCount val="12"/>
                <c:pt idx="3">
                  <c:v>100</c:v>
                </c:pt>
                <c:pt idx="4">
                  <c:v>0</c:v>
                </c:pt>
                <c:pt idx="5">
                  <c:v>0</c:v>
                </c:pt>
                <c:pt idx="6">
                  <c:v>100</c:v>
                </c:pt>
              </c:numCache>
            </c:numRef>
          </c:val>
        </c:ser>
        <c:ser>
          <c:idx val="3"/>
          <c:order val="5"/>
          <c:tx>
            <c:strRef>
              <c:f>'Юристы 2 RHS'!$K$1</c:f>
              <c:strCache>
                <c:ptCount val="1"/>
                <c:pt idx="0">
                  <c:v>Верхняя граница</c:v>
                </c:pt>
              </c:strCache>
            </c:strRef>
          </c:tx>
          <c:spPr>
            <a:solidFill>
              <a:schemeClr val="bg1"/>
            </a:solidFill>
          </c:spPr>
          <c:val>
            <c:numRef>
              <c:f>'Юристы 2 RHS'!$K$2:$K$13</c:f>
              <c:numCache>
                <c:formatCode>General</c:formatCode>
                <c:ptCount val="12"/>
                <c:pt idx="3">
                  <c:v>0</c:v>
                </c:pt>
                <c:pt idx="4">
                  <c:v>100</c:v>
                </c:pt>
                <c:pt idx="5">
                  <c:v>100</c:v>
                </c:pt>
                <c:pt idx="6">
                  <c:v>0</c:v>
                </c:pt>
              </c:numCache>
            </c:numRef>
          </c:val>
        </c:ser>
        <c:dLbls>
          <c:showLegendKey val="0"/>
          <c:showVal val="0"/>
          <c:showCatName val="0"/>
          <c:showSerName val="0"/>
          <c:showPercent val="0"/>
          <c:showBubbleSize val="0"/>
        </c:dLbls>
        <c:axId val="237891016"/>
        <c:axId val="237890624"/>
      </c:areaChart>
      <c:lineChart>
        <c:grouping val="standard"/>
        <c:varyColors val="0"/>
        <c:ser>
          <c:idx val="1"/>
          <c:order val="0"/>
          <c:tx>
            <c:strRef>
              <c:f>'Юристы 2 RHS'!$G$1</c:f>
              <c:strCache>
                <c:ptCount val="1"/>
                <c:pt idx="0">
                  <c:v>Фактическая прибыль</c:v>
                </c:pt>
              </c:strCache>
            </c:strRef>
          </c:tx>
          <c:spPr>
            <a:ln w="19050">
              <a:solidFill>
                <a:schemeClr val="tx1"/>
              </a:solidFill>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RHS'!$G$2:$G$13</c:f>
              <c:numCache>
                <c:formatCode>General</c:formatCode>
                <c:ptCount val="12"/>
                <c:pt idx="0">
                  <c:v>100</c:v>
                </c:pt>
                <c:pt idx="1">
                  <c:v>100</c:v>
                </c:pt>
                <c:pt idx="2">
                  <c:v>100</c:v>
                </c:pt>
                <c:pt idx="3">
                  <c:v>100</c:v>
                </c:pt>
                <c:pt idx="4">
                  <c:v>0</c:v>
                </c:pt>
                <c:pt idx="5">
                  <c:v>0</c:v>
                </c:pt>
                <c:pt idx="6">
                  <c:v>100</c:v>
                </c:pt>
                <c:pt idx="7">
                  <c:v>100</c:v>
                </c:pt>
                <c:pt idx="8">
                  <c:v>100</c:v>
                </c:pt>
                <c:pt idx="9">
                  <c:v>100</c:v>
                </c:pt>
                <c:pt idx="10">
                  <c:v>100</c:v>
                </c:pt>
                <c:pt idx="11">
                  <c:v>100</c:v>
                </c:pt>
              </c:numCache>
            </c:numRef>
          </c:val>
          <c:smooth val="0"/>
        </c:ser>
        <c:ser>
          <c:idx val="4"/>
          <c:order val="1"/>
          <c:tx>
            <c:strRef>
              <c:f>'Юристы 2 RHS'!$I$1</c:f>
              <c:strCache>
                <c:ptCount val="1"/>
                <c:pt idx="0">
                  <c:v>Контрфакт. прибыль</c:v>
                </c:pt>
              </c:strCache>
            </c:strRef>
          </c:tx>
          <c:spPr>
            <a:ln w="19050">
              <a:solidFill>
                <a:schemeClr val="tx1"/>
              </a:solidFill>
              <a:prstDash val="sysDot"/>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RHS'!$I$2:$I$13</c:f>
              <c:numCache>
                <c:formatCode>General</c:formatCode>
                <c:ptCount val="12"/>
                <c:pt idx="3">
                  <c:v>100</c:v>
                </c:pt>
                <c:pt idx="4">
                  <c:v>100</c:v>
                </c:pt>
                <c:pt idx="5">
                  <c:v>100</c:v>
                </c:pt>
                <c:pt idx="6">
                  <c:v>100</c:v>
                </c:pt>
              </c:numCache>
            </c:numRef>
          </c:val>
          <c:smooth val="0"/>
        </c:ser>
        <c:dLbls>
          <c:showLegendKey val="0"/>
          <c:showVal val="0"/>
          <c:showCatName val="0"/>
          <c:showSerName val="0"/>
          <c:showPercent val="0"/>
          <c:showBubbleSize val="0"/>
        </c:dLbls>
        <c:marker val="1"/>
        <c:smooth val="0"/>
        <c:axId val="237889840"/>
        <c:axId val="237890232"/>
      </c:lineChart>
      <c:scatterChart>
        <c:scatterStyle val="lineMarker"/>
        <c:varyColors val="0"/>
        <c:ser>
          <c:idx val="8"/>
          <c:order val="2"/>
          <c:tx>
            <c:strRef>
              <c:f>'Юристы 2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RHS'!$D$21:$D$22</c:f>
              <c:numCache>
                <c:formatCode>General</c:formatCode>
                <c:ptCount val="2"/>
                <c:pt idx="0">
                  <c:v>4</c:v>
                </c:pt>
                <c:pt idx="1">
                  <c:v>4</c:v>
                </c:pt>
              </c:numCache>
            </c:numRef>
          </c:xVal>
          <c:yVal>
            <c:numRef>
              <c:f>'Юристы 2 RHS'!$E$21:$E$22</c:f>
              <c:numCache>
                <c:formatCode>General</c:formatCode>
                <c:ptCount val="2"/>
                <c:pt idx="0">
                  <c:v>0</c:v>
                </c:pt>
                <c:pt idx="1">
                  <c:v>126</c:v>
                </c:pt>
              </c:numCache>
            </c:numRef>
          </c:yVal>
          <c:smooth val="0"/>
        </c:ser>
        <c:ser>
          <c:idx val="9"/>
          <c:order val="3"/>
          <c:tx>
            <c:strRef>
              <c:f>'Юристы 2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RHS'!$D$25:$D$26</c:f>
              <c:numCache>
                <c:formatCode>General</c:formatCode>
                <c:ptCount val="2"/>
                <c:pt idx="0">
                  <c:v>7</c:v>
                </c:pt>
                <c:pt idx="1">
                  <c:v>7</c:v>
                </c:pt>
              </c:numCache>
            </c:numRef>
          </c:xVal>
          <c:yVal>
            <c:numRef>
              <c:f>'Юристы 2 RHS'!$E$25:$E$26</c:f>
              <c:numCache>
                <c:formatCode>General</c:formatCode>
                <c:ptCount val="2"/>
                <c:pt idx="0">
                  <c:v>0</c:v>
                </c:pt>
                <c:pt idx="1">
                  <c:v>110</c:v>
                </c:pt>
              </c:numCache>
            </c:numRef>
          </c:yVal>
          <c:smooth val="0"/>
        </c:ser>
        <c:dLbls>
          <c:showLegendKey val="0"/>
          <c:showVal val="0"/>
          <c:showCatName val="0"/>
          <c:showSerName val="0"/>
          <c:showPercent val="0"/>
          <c:showBubbleSize val="0"/>
        </c:dLbls>
        <c:axId val="237891016"/>
        <c:axId val="237890624"/>
      </c:scatterChart>
      <c:catAx>
        <c:axId val="237889840"/>
        <c:scaling>
          <c:orientation val="minMax"/>
        </c:scaling>
        <c:delete val="0"/>
        <c:axPos val="b"/>
        <c:numFmt formatCode="General" sourceLinked="1"/>
        <c:majorTickMark val="out"/>
        <c:minorTickMark val="none"/>
        <c:tickLblPos val="nextTo"/>
        <c:crossAx val="237890232"/>
        <c:crosses val="autoZero"/>
        <c:auto val="1"/>
        <c:lblAlgn val="ctr"/>
        <c:lblOffset val="100"/>
        <c:tickMarkSkip val="3"/>
        <c:noMultiLvlLbl val="0"/>
      </c:catAx>
      <c:valAx>
        <c:axId val="237890232"/>
        <c:scaling>
          <c:orientation val="minMax"/>
          <c:max val="140"/>
          <c:min val="0"/>
        </c:scaling>
        <c:delete val="0"/>
        <c:axPos val="l"/>
        <c:majorGridlines/>
        <c:numFmt formatCode="#,##0_);\(#,##0\)" sourceLinked="0"/>
        <c:majorTickMark val="out"/>
        <c:minorTickMark val="none"/>
        <c:tickLblPos val="nextTo"/>
        <c:crossAx val="237889840"/>
        <c:crosses val="autoZero"/>
        <c:crossBetween val="between"/>
        <c:majorUnit val="50"/>
      </c:valAx>
      <c:valAx>
        <c:axId val="237890624"/>
        <c:scaling>
          <c:orientation val="minMax"/>
        </c:scaling>
        <c:delete val="1"/>
        <c:axPos val="r"/>
        <c:numFmt formatCode="General" sourceLinked="1"/>
        <c:majorTickMark val="out"/>
        <c:minorTickMark val="none"/>
        <c:tickLblPos val="none"/>
        <c:crossAx val="237891016"/>
        <c:crosses val="max"/>
        <c:crossBetween val="between"/>
      </c:valAx>
      <c:catAx>
        <c:axId val="237891016"/>
        <c:scaling>
          <c:orientation val="minMax"/>
        </c:scaling>
        <c:delete val="1"/>
        <c:axPos val="t"/>
        <c:numFmt formatCode="General" sourceLinked="1"/>
        <c:majorTickMark val="out"/>
        <c:minorTickMark val="none"/>
        <c:tickLblPos val="none"/>
        <c:crossAx val="237890624"/>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4"/>
        <c:delete val="1"/>
      </c:legendEntry>
      <c:legendEntry>
        <c:idx val="5"/>
        <c:delete val="1"/>
      </c:legendEntry>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847" y="285845"/>
          <a:ext cx="1555583" cy="23873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399" y="495523"/>
          <a:ext cx="1537295" cy="23870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0.14258</cdr:x>
      <cdr:y>0.02352</cdr:y>
    </cdr:from>
    <cdr:to>
      <cdr:x>0.98828</cdr:x>
      <cdr:y>0.0972</cdr:y>
    </cdr:to>
    <cdr:sp macro="" textlink="">
      <cdr:nvSpPr>
        <cdr:cNvPr id="8" name="TextBox 1"/>
        <cdr:cNvSpPr txBox="1"/>
      </cdr:nvSpPr>
      <cdr:spPr>
        <a:xfrm xmlns:a="http://schemas.openxmlformats.org/drawingml/2006/main">
          <a:off x="374650" y="76199"/>
          <a:ext cx="2222184"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baseline="0">
              <a:latin typeface="Arial" panose="020B0604020202020204" pitchFamily="34" charset="0"/>
              <a:cs typeface="Arial" panose="020B0604020202020204" pitchFamily="34" charset="0"/>
            </a:rPr>
            <a:t>Динамика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0.14619</cdr:x>
      <cdr:y>0.08823</cdr:y>
    </cdr:from>
    <cdr:to>
      <cdr:x>0.7382</cdr:x>
      <cdr:y>0.16192</cdr:y>
    </cdr:to>
    <cdr:sp macro="" textlink="">
      <cdr:nvSpPr>
        <cdr:cNvPr id="6" name="TextBox 1"/>
        <cdr:cNvSpPr txBox="1"/>
      </cdr:nvSpPr>
      <cdr:spPr>
        <a:xfrm xmlns:a="http://schemas.openxmlformats.org/drawingml/2006/main">
          <a:off x="384175" y="285872"/>
          <a:ext cx="1555802" cy="23873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0.27275</cdr:x>
      <cdr:y>0.15295</cdr:y>
    </cdr:from>
    <cdr:to>
      <cdr:x>0.8578</cdr:x>
      <cdr:y>0.22663</cdr:y>
    </cdr:to>
    <cdr:sp macro="" textlink="">
      <cdr:nvSpPr>
        <cdr:cNvPr id="7" name="TextBox 1"/>
        <cdr:cNvSpPr txBox="1"/>
      </cdr:nvSpPr>
      <cdr:spPr>
        <a:xfrm xmlns:a="http://schemas.openxmlformats.org/drawingml/2006/main">
          <a:off x="716790" y="495543"/>
          <a:ext cx="1537511" cy="2387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0.08458</cdr:x>
      <cdr:y>0.02352</cdr:y>
    </cdr:from>
    <cdr:to>
      <cdr:x>0.95566</cdr:x>
      <cdr:y>0.0972</cdr:y>
    </cdr:to>
    <cdr:sp macro="" textlink="">
      <cdr:nvSpPr>
        <cdr:cNvPr id="8" name="TextBox 1"/>
        <cdr:cNvSpPr txBox="1"/>
      </cdr:nvSpPr>
      <cdr:spPr>
        <a:xfrm xmlns:a="http://schemas.openxmlformats.org/drawingml/2006/main">
          <a:off x="222245" y="76199"/>
          <a:ext cx="2288876"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прибыли</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0.22592</cdr:x>
      <cdr:y>0.01568</cdr:y>
    </cdr:from>
    <cdr:to>
      <cdr:x>0.81793</cdr:x>
      <cdr:y>0.08937</cdr:y>
    </cdr:to>
    <cdr:sp macro="" textlink="">
      <cdr:nvSpPr>
        <cdr:cNvPr id="5" name="TextBox 1"/>
        <cdr:cNvSpPr txBox="1"/>
      </cdr:nvSpPr>
      <cdr:spPr>
        <a:xfrm xmlns:a="http://schemas.openxmlformats.org/drawingml/2006/main">
          <a:off x="593725" y="50800"/>
          <a:ext cx="1555802"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Количество</a:t>
          </a:r>
          <a:r>
            <a:rPr lang="ru-RU" sz="1000" b="1" baseline="0">
              <a:latin typeface="Arial" panose="020B0604020202020204" pitchFamily="34" charset="0"/>
              <a:cs typeface="Arial" panose="020B0604020202020204" pitchFamily="34" charset="0"/>
            </a:rPr>
            <a:t> клиентов</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0.38873</cdr:x>
      <cdr:y>0.15295</cdr:y>
    </cdr:from>
    <cdr:to>
      <cdr:x>0.97378</cdr:x>
      <cdr:y>0.22663</cdr:y>
    </cdr:to>
    <cdr:sp macro="" textlink="">
      <cdr:nvSpPr>
        <cdr:cNvPr id="7" name="TextBox 1"/>
        <cdr:cNvSpPr txBox="1"/>
      </cdr:nvSpPr>
      <cdr:spPr>
        <a:xfrm xmlns:a="http://schemas.openxmlformats.org/drawingml/2006/main">
          <a:off x="1021587"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0.02175</cdr:x>
      <cdr:y>0.01568</cdr:y>
    </cdr:from>
    <cdr:to>
      <cdr:x>0.96772</cdr:x>
      <cdr:y>0.08937</cdr:y>
    </cdr:to>
    <cdr:sp macro="" textlink="">
      <cdr:nvSpPr>
        <cdr:cNvPr id="5" name="TextBox 1"/>
        <cdr:cNvSpPr txBox="1"/>
      </cdr:nvSpPr>
      <cdr:spPr>
        <a:xfrm xmlns:a="http://schemas.openxmlformats.org/drawingml/2006/main">
          <a:off x="57151" y="50803"/>
          <a:ext cx="2486024"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0.39236</cdr:x>
      <cdr:y>0.15295</cdr:y>
    </cdr:from>
    <cdr:to>
      <cdr:x>0.97741</cdr:x>
      <cdr:y>0.22663</cdr:y>
    </cdr:to>
    <cdr:sp macro="" textlink="">
      <cdr:nvSpPr>
        <cdr:cNvPr id="7" name="TextBox 1"/>
        <cdr:cNvSpPr txBox="1"/>
      </cdr:nvSpPr>
      <cdr:spPr>
        <a:xfrm xmlns:a="http://schemas.openxmlformats.org/drawingml/2006/main">
          <a:off x="1031112"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A785C-B124-4392-8A49-C10D4637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182</Pages>
  <Words>73833</Words>
  <Characters>420849</Characters>
  <Application>Microsoft Office Word</Application>
  <DocSecurity>4</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Кушхова С.М.</cp:lastModifiedBy>
  <cp:revision>2</cp:revision>
  <cp:lastPrinted>2017-05-30T15:02:00Z</cp:lastPrinted>
  <dcterms:created xsi:type="dcterms:W3CDTF">2018-02-16T12:38:00Z</dcterms:created>
  <dcterms:modified xsi:type="dcterms:W3CDTF">2018-02-16T12:38:00Z</dcterms:modified>
</cp:coreProperties>
</file>